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 w:space="0" w:color="FFFFFF"/>
          <w:left w:val="single" w:sz="2" w:space="0" w:color="FFFFFF"/>
          <w:bottom w:val="single" w:sz="2" w:space="0" w:color="FFFFFF"/>
          <w:right w:val="single" w:sz="2" w:space="0" w:color="FFFFFF"/>
        </w:tblBorders>
        <w:tblCellMar>
          <w:top w:w="15" w:type="dxa"/>
          <w:left w:w="150" w:type="dxa"/>
          <w:bottom w:w="15" w:type="dxa"/>
          <w:right w:w="15" w:type="dxa"/>
        </w:tblCellMar>
        <w:tblLook w:val="04A0" w:firstRow="1" w:lastRow="0" w:firstColumn="1" w:lastColumn="0" w:noHBand="0" w:noVBand="1"/>
      </w:tblPr>
      <w:tblGrid>
        <w:gridCol w:w="10872"/>
      </w:tblGrid>
      <w:tr w:rsidR="001024BB" w:rsidRPr="001024BB">
        <w:trPr>
          <w:tblCellSpacing w:w="15" w:type="dxa"/>
        </w:trPr>
        <w:tc>
          <w:tcPr>
            <w:tcW w:w="0" w:type="auto"/>
            <w:tcMar>
              <w:top w:w="15" w:type="dxa"/>
              <w:left w:w="15" w:type="dxa"/>
              <w:bottom w:w="15" w:type="dxa"/>
              <w:right w:w="15" w:type="dxa"/>
            </w:tcMar>
            <w:hideMark/>
          </w:tcPr>
          <w:p w:rsidR="001024BB" w:rsidRPr="001024BB" w:rsidRDefault="001024BB" w:rsidP="001024BB">
            <w:pPr>
              <w:spacing w:before="100" w:beforeAutospacing="1" w:after="100" w:afterAutospacing="1" w:line="240" w:lineRule="auto"/>
              <w:jc w:val="center"/>
              <w:outlineLvl w:val="2"/>
              <w:rPr>
                <w:rFonts w:ascii="Verdana" w:eastAsia="Times New Roman" w:hAnsi="Verdana" w:cs="Times New Roman"/>
                <w:b/>
                <w:bCs/>
                <w:color w:val="000000"/>
                <w:sz w:val="21"/>
                <w:szCs w:val="21"/>
                <w:lang w:eastAsia="ru-RU"/>
              </w:rPr>
            </w:pPr>
            <w:r w:rsidRPr="001024BB">
              <w:rPr>
                <w:rFonts w:ascii="Verdana" w:eastAsia="Times New Roman" w:hAnsi="Verdana" w:cs="Times New Roman"/>
                <w:b/>
                <w:bCs/>
                <w:color w:val="000000"/>
                <w:sz w:val="21"/>
                <w:szCs w:val="21"/>
                <w:lang w:eastAsia="ru-RU"/>
              </w:rPr>
              <w:t>Про затвердження Зміни № 6</w:t>
            </w:r>
          </w:p>
          <w:p w:rsidR="001024BB" w:rsidRPr="001024BB" w:rsidRDefault="001024BB" w:rsidP="001024BB">
            <w:pPr>
              <w:spacing w:before="100" w:beforeAutospacing="1" w:after="100" w:afterAutospacing="1" w:line="240" w:lineRule="auto"/>
              <w:jc w:val="center"/>
              <w:outlineLvl w:val="2"/>
              <w:rPr>
                <w:rFonts w:ascii="Verdana" w:eastAsia="Times New Roman" w:hAnsi="Verdana" w:cs="Times New Roman"/>
                <w:b/>
                <w:bCs/>
                <w:color w:val="000000"/>
                <w:sz w:val="21"/>
                <w:szCs w:val="21"/>
                <w:lang w:eastAsia="ru-RU"/>
              </w:rPr>
            </w:pPr>
            <w:r w:rsidRPr="001024BB">
              <w:rPr>
                <w:rFonts w:ascii="Verdana" w:eastAsia="Times New Roman" w:hAnsi="Verdana" w:cs="Times New Roman"/>
                <w:b/>
                <w:bCs/>
                <w:color w:val="000000"/>
                <w:sz w:val="21"/>
                <w:szCs w:val="21"/>
                <w:lang w:eastAsia="ru-RU"/>
              </w:rPr>
              <w:t>до ДБН Д.1.1-1-2000</w:t>
            </w:r>
          </w:p>
          <w:p w:rsidR="001024BB" w:rsidRPr="001024BB" w:rsidRDefault="001024BB" w:rsidP="001024BB">
            <w:pPr>
              <w:spacing w:after="0" w:line="240" w:lineRule="auto"/>
              <w:jc w:val="both"/>
              <w:rPr>
                <w:rFonts w:ascii="Verdana" w:eastAsia="Times New Roman" w:hAnsi="Verdana" w:cs="Times New Roman"/>
                <w:b/>
                <w:bCs/>
                <w:caps/>
                <w:sz w:val="21"/>
                <w:szCs w:val="21"/>
                <w:lang w:eastAsia="ru-RU"/>
              </w:rPr>
            </w:pPr>
            <w:r w:rsidRPr="001024BB">
              <w:rPr>
                <w:rFonts w:ascii="Verdana" w:eastAsia="Times New Roman" w:hAnsi="Verdana" w:cs="Times New Roman"/>
                <w:b/>
                <w:bCs/>
                <w:caps/>
                <w:sz w:val="21"/>
                <w:szCs w:val="21"/>
                <w:lang w:eastAsia="ru-RU"/>
              </w:rPr>
              <w:t>Наказ №114</w:t>
            </w:r>
            <w:proofErr w:type="gramStart"/>
            <w:r w:rsidRPr="001024BB">
              <w:rPr>
                <w:rFonts w:ascii="Verdana" w:eastAsia="Times New Roman" w:hAnsi="Verdana" w:cs="Times New Roman"/>
                <w:b/>
                <w:bCs/>
                <w:caps/>
                <w:sz w:val="21"/>
                <w:szCs w:val="21"/>
                <w:lang w:eastAsia="ru-RU"/>
              </w:rPr>
              <w:t xml:space="preserve"> в</w:t>
            </w:r>
            <w:proofErr w:type="gramEnd"/>
            <w:r w:rsidRPr="001024BB">
              <w:rPr>
                <w:rFonts w:ascii="Verdana" w:eastAsia="Times New Roman" w:hAnsi="Verdana" w:cs="Times New Roman"/>
                <w:b/>
                <w:bCs/>
                <w:caps/>
                <w:sz w:val="21"/>
                <w:szCs w:val="21"/>
                <w:lang w:eastAsia="ru-RU"/>
              </w:rPr>
              <w:t xml:space="preserve">ід 19.03.2009р. МІНІСТЕРСТВа регіонального розвитку та БУДІВНИЦТВА УКРАЇНИ </w:t>
            </w:r>
          </w:p>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proofErr w:type="gramStart"/>
            <w:r w:rsidRPr="001024BB">
              <w:rPr>
                <w:rFonts w:ascii="Verdana" w:eastAsia="Times New Roman" w:hAnsi="Verdana" w:cs="Times New Roman"/>
                <w:color w:val="000000"/>
                <w:sz w:val="17"/>
                <w:szCs w:val="17"/>
                <w:lang w:eastAsia="ru-RU"/>
              </w:rPr>
              <w:t>З</w:t>
            </w:r>
            <w:proofErr w:type="gramEnd"/>
            <w:r w:rsidRPr="001024BB">
              <w:rPr>
                <w:rFonts w:ascii="Verdana" w:eastAsia="Times New Roman" w:hAnsi="Verdana" w:cs="Times New Roman"/>
                <w:color w:val="000000"/>
                <w:sz w:val="17"/>
                <w:szCs w:val="17"/>
                <w:lang w:eastAsia="ru-RU"/>
              </w:rPr>
              <w:t xml:space="preserve"> метою впровадження заходів зі стабілізації будівництва, передбачених Законами України «Про запобігання впливу світової фінансової кризи на розвиток будівельної галузі та житлового будівництва», «Про внесення змін до деяких законів України щодо мінімізації впливу фінансової кризи на розвиток вітчизняної промисловості», постановою Кабінету Міні</w:t>
            </w:r>
            <w:proofErr w:type="gramStart"/>
            <w:r w:rsidRPr="001024BB">
              <w:rPr>
                <w:rFonts w:ascii="Verdana" w:eastAsia="Times New Roman" w:hAnsi="Verdana" w:cs="Times New Roman"/>
                <w:color w:val="000000"/>
                <w:sz w:val="17"/>
                <w:szCs w:val="17"/>
                <w:lang w:eastAsia="ru-RU"/>
              </w:rPr>
              <w:t>стр</w:t>
            </w:r>
            <w:proofErr w:type="gramEnd"/>
            <w:r w:rsidRPr="001024BB">
              <w:rPr>
                <w:rFonts w:ascii="Verdana" w:eastAsia="Times New Roman" w:hAnsi="Verdana" w:cs="Times New Roman"/>
                <w:color w:val="000000"/>
                <w:sz w:val="17"/>
                <w:szCs w:val="17"/>
                <w:lang w:eastAsia="ru-RU"/>
              </w:rPr>
              <w:t xml:space="preserve">ів України «Про реєстрацію цін на окремі види продукції» від 27.12.2008 № 1138, іншими рішеннями Уряду, а також з метою забезпечення ефективного використання державних коштів, посилення контролю за їх використанням та на виконання рішення Колегії Мінрегіонбуду і Президії Центрального комітету профспілки працівників будівництва та промисловості будівельних матеріалів України від 17.03.2009 № 6 та </w:t>
            </w:r>
            <w:proofErr w:type="gramStart"/>
            <w:r w:rsidRPr="001024BB">
              <w:rPr>
                <w:rFonts w:ascii="Verdana" w:eastAsia="Times New Roman" w:hAnsi="Verdana" w:cs="Times New Roman"/>
                <w:color w:val="000000"/>
                <w:sz w:val="17"/>
                <w:szCs w:val="17"/>
                <w:lang w:eastAsia="ru-RU"/>
              </w:rPr>
              <w:t>р</w:t>
            </w:r>
            <w:proofErr w:type="gramEnd"/>
            <w:r w:rsidRPr="001024BB">
              <w:rPr>
                <w:rFonts w:ascii="Verdana" w:eastAsia="Times New Roman" w:hAnsi="Verdana" w:cs="Times New Roman"/>
                <w:color w:val="000000"/>
                <w:sz w:val="17"/>
                <w:szCs w:val="17"/>
                <w:lang w:eastAsia="ru-RU"/>
              </w:rPr>
              <w:t>ішення Науково-технічної ради Мінрегіонбуду від 18.03.2009 № 26 «Про Зміну № 6 до ДБН Д.1.1-1-2000»,</w:t>
            </w:r>
          </w:p>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b/>
                <w:bCs/>
                <w:caps/>
                <w:color w:val="000000"/>
                <w:sz w:val="17"/>
                <w:szCs w:val="17"/>
                <w:lang w:eastAsia="ru-RU"/>
              </w:rPr>
              <w:t>наказую</w:t>
            </w:r>
            <w:r w:rsidRPr="001024BB">
              <w:rPr>
                <w:rFonts w:ascii="Verdana" w:eastAsia="Times New Roman" w:hAnsi="Verdana" w:cs="Times New Roman"/>
                <w:color w:val="000000"/>
                <w:sz w:val="17"/>
                <w:szCs w:val="17"/>
                <w:lang w:eastAsia="ru-RU"/>
              </w:rPr>
              <w:t>:</w:t>
            </w:r>
          </w:p>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1. Затвердити Зміну № 6 до ДБН Д.1.1-1-2000 «Правила визначення вартості будівництва».</w:t>
            </w:r>
          </w:p>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 xml:space="preserve">2. Управлінню ціноутворення, експертизи та контролю вартості у будівництві (Губень П.І.) забезпечити доведення інформації про затвердження зазначеної Зміни </w:t>
            </w:r>
            <w:proofErr w:type="gramStart"/>
            <w:r w:rsidRPr="001024BB">
              <w:rPr>
                <w:rFonts w:ascii="Verdana" w:eastAsia="Times New Roman" w:hAnsi="Verdana" w:cs="Times New Roman"/>
                <w:color w:val="000000"/>
                <w:sz w:val="17"/>
                <w:szCs w:val="17"/>
                <w:lang w:eastAsia="ru-RU"/>
              </w:rPr>
              <w:t>до</w:t>
            </w:r>
            <w:proofErr w:type="gramEnd"/>
            <w:r w:rsidRPr="001024BB">
              <w:rPr>
                <w:rFonts w:ascii="Verdana" w:eastAsia="Times New Roman" w:hAnsi="Verdana" w:cs="Times New Roman"/>
                <w:color w:val="000000"/>
                <w:sz w:val="17"/>
                <w:szCs w:val="17"/>
                <w:lang w:eastAsia="ru-RU"/>
              </w:rPr>
              <w:t xml:space="preserve"> відома заінтересованих організацій. </w:t>
            </w:r>
          </w:p>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3. Доручити видання та розповсюдження Зміни № 6 за умови використання коштів, отриманих від її реалізації, на виконання робіт із стандартизації, розвитку науково-технічної бази (ст.19 Закону України «Про стандартизацію») Науково-виробничій фірмі «Інпроект».</w:t>
            </w:r>
          </w:p>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4. Контроль за виконанням цього наказу покласти на першого заступника Міністра А.В. Беркуту.</w:t>
            </w:r>
          </w:p>
          <w:p w:rsidR="001024BB" w:rsidRPr="001024BB" w:rsidRDefault="001024BB" w:rsidP="001024BB">
            <w:pPr>
              <w:spacing w:before="100" w:beforeAutospacing="1" w:after="100" w:afterAutospacing="1" w:line="240" w:lineRule="auto"/>
              <w:ind w:firstLine="150"/>
              <w:jc w:val="both"/>
              <w:rPr>
                <w:rFonts w:ascii="Times New Roman" w:eastAsia="Times New Roman" w:hAnsi="Times New Roman" w:cs="Times New Roman"/>
                <w:color w:val="000000"/>
                <w:sz w:val="24"/>
                <w:szCs w:val="24"/>
                <w:lang w:eastAsia="ru-RU"/>
              </w:rPr>
            </w:pPr>
            <w:r w:rsidRPr="001024BB">
              <w:rPr>
                <w:rFonts w:ascii="Times New Roman" w:eastAsia="Times New Roman" w:hAnsi="Times New Roman" w:cs="Times New Roman"/>
                <w:color w:val="000000"/>
                <w:sz w:val="24"/>
                <w:szCs w:val="24"/>
                <w:lang w:eastAsia="ru-RU"/>
              </w:rPr>
              <w:t>Т.в</w:t>
            </w:r>
            <w:proofErr w:type="gramStart"/>
            <w:r w:rsidRPr="001024BB">
              <w:rPr>
                <w:rFonts w:ascii="Times New Roman" w:eastAsia="Times New Roman" w:hAnsi="Times New Roman" w:cs="Times New Roman"/>
                <w:color w:val="000000"/>
                <w:sz w:val="24"/>
                <w:szCs w:val="24"/>
                <w:lang w:eastAsia="ru-RU"/>
              </w:rPr>
              <w:t>.о</w:t>
            </w:r>
            <w:proofErr w:type="gramEnd"/>
            <w:r w:rsidRPr="001024BB">
              <w:rPr>
                <w:rFonts w:ascii="Times New Roman" w:eastAsia="Times New Roman" w:hAnsi="Times New Roman" w:cs="Times New Roman"/>
                <w:color w:val="000000"/>
                <w:sz w:val="24"/>
                <w:szCs w:val="24"/>
                <w:lang w:eastAsia="ru-RU"/>
              </w:rPr>
              <w:t xml:space="preserve"> Міністра В.А. Негода</w:t>
            </w:r>
          </w:p>
          <w:p w:rsidR="001024BB" w:rsidRPr="001024BB" w:rsidRDefault="001024BB" w:rsidP="001024BB">
            <w:pPr>
              <w:spacing w:before="100" w:beforeAutospacing="1" w:after="170" w:line="240" w:lineRule="auto"/>
              <w:ind w:firstLine="150"/>
              <w:jc w:val="center"/>
              <w:rPr>
                <w:rFonts w:ascii="Times New Roman" w:eastAsia="Times New Roman" w:hAnsi="Times New Roman" w:cs="Times New Roman"/>
                <w:color w:val="000000"/>
                <w:sz w:val="24"/>
                <w:szCs w:val="24"/>
                <w:lang w:eastAsia="ru-RU"/>
              </w:rPr>
            </w:pPr>
            <w:bookmarkStart w:id="0" w:name="_GoBack"/>
            <w:r w:rsidRPr="001024BB">
              <w:rPr>
                <w:rFonts w:ascii="Arial" w:eastAsia="Times New Roman" w:hAnsi="Arial" w:cs="Arial"/>
                <w:b/>
                <w:bCs/>
                <w:color w:val="000000"/>
                <w:lang w:eastAsia="ru-RU"/>
              </w:rPr>
              <w:t xml:space="preserve">Зміна № 6 </w:t>
            </w:r>
          </w:p>
          <w:p w:rsidR="001024BB" w:rsidRPr="001024BB" w:rsidRDefault="001024BB" w:rsidP="001024BB">
            <w:pPr>
              <w:spacing w:before="100" w:beforeAutospacing="1" w:after="170" w:line="240" w:lineRule="auto"/>
              <w:ind w:firstLine="150"/>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lang w:eastAsia="ru-RU"/>
              </w:rPr>
              <w:t xml:space="preserve">до «Правил визначення вартості будівництва» </w:t>
            </w:r>
            <w:r w:rsidRPr="001024BB">
              <w:rPr>
                <w:rFonts w:ascii="Arial" w:eastAsia="Times New Roman" w:hAnsi="Arial" w:cs="Arial"/>
                <w:b/>
                <w:bCs/>
                <w:color w:val="000000"/>
                <w:lang w:eastAsia="ru-RU"/>
              </w:rPr>
              <w:br/>
              <w:t>ДБН Д.1.1-1-2000</w:t>
            </w:r>
          </w:p>
          <w:bookmarkEnd w:id="0"/>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sz w:val="20"/>
                <w:szCs w:val="20"/>
                <w:lang w:eastAsia="ru-RU"/>
              </w:rPr>
              <w:t>Затверджено наказом Міністерства регіонального розвитку та будівництва України від 19.03.2009 № 114 та введено в дію з 1 квітня 2009 року</w:t>
            </w:r>
          </w:p>
          <w:p w:rsidR="001024BB" w:rsidRPr="001024BB" w:rsidRDefault="001024BB" w:rsidP="001024BB">
            <w:pPr>
              <w:spacing w:before="100" w:beforeAutospacing="1" w:after="100" w:afterAutospacing="1" w:line="240" w:lineRule="auto"/>
              <w:ind w:firstLine="150"/>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lang w:eastAsia="ru-RU"/>
              </w:rPr>
              <w:t>ТЕКСТ ЗМІНИ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1. По всьому тексту ДБН Д.1.1-1-2000 вилучити вираз «розширення» у всіх відмінках. </w:t>
            </w:r>
          </w:p>
          <w:p w:rsidR="001024BB" w:rsidRPr="001024BB" w:rsidRDefault="001024BB" w:rsidP="001024BB">
            <w:pPr>
              <w:spacing w:before="100" w:beforeAutospacing="1" w:after="100" w:afterAutospacing="1" w:line="240" w:lineRule="auto"/>
              <w:ind w:firstLine="150"/>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lang w:eastAsia="ru-RU"/>
              </w:rPr>
              <w:t>Розділ 2 Правила складання інвесторської</w:t>
            </w:r>
          </w:p>
          <w:p w:rsidR="001024BB" w:rsidRPr="001024BB" w:rsidRDefault="001024BB" w:rsidP="001024BB">
            <w:pPr>
              <w:spacing w:before="100" w:beforeAutospacing="1" w:after="100" w:afterAutospacing="1" w:line="240" w:lineRule="auto"/>
              <w:ind w:firstLine="150"/>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lang w:eastAsia="ru-RU"/>
              </w:rPr>
              <w:t>кошторисної документації</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2. Другий абзац п.2.2.7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«Зведення витрат складається у випадках, коли разом з будівництвом виробничих об’єктів передбачається будівництво об’єктів житлового та громадського призначення або бази будівельної індустрії, профтехучилищ, </w:t>
            </w:r>
            <w:proofErr w:type="gramStart"/>
            <w:r w:rsidRPr="001024BB">
              <w:rPr>
                <w:rFonts w:ascii="Arial" w:eastAsia="Times New Roman" w:hAnsi="Arial" w:cs="Arial"/>
                <w:color w:val="000000"/>
                <w:sz w:val="20"/>
                <w:szCs w:val="20"/>
                <w:lang w:eastAsia="ru-RU"/>
              </w:rPr>
              <w:t>проф</w:t>
            </w:r>
            <w:proofErr w:type="gramEnd"/>
            <w:r w:rsidRPr="001024BB">
              <w:rPr>
                <w:rFonts w:ascii="Arial" w:eastAsia="Times New Roman" w:hAnsi="Arial" w:cs="Arial"/>
                <w:color w:val="000000"/>
                <w:sz w:val="20"/>
                <w:szCs w:val="20"/>
                <w:lang w:eastAsia="ru-RU"/>
              </w:rPr>
              <w:t xml:space="preserve">ілакторіїв, об’єктів підсобного сільського господарства та побутового обслуговування населення, міського наземного пасажирського транспорту, доріг, шляхопроводів та подібних інженерних споруд та здійснення будівництва по чергах.».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3. Текст пункту 2.2.10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«При проектуванні будов, будівництво яких намічається здійснювати по чергах, за необхідності складається зведення витрат, яке </w:t>
            </w:r>
            <w:proofErr w:type="gramStart"/>
            <w:r w:rsidRPr="001024BB">
              <w:rPr>
                <w:rFonts w:ascii="Arial" w:eastAsia="Times New Roman" w:hAnsi="Arial" w:cs="Arial"/>
                <w:color w:val="000000"/>
                <w:sz w:val="20"/>
                <w:szCs w:val="20"/>
                <w:lang w:eastAsia="ru-RU"/>
              </w:rPr>
              <w:t>об</w:t>
            </w:r>
            <w:proofErr w:type="gramEnd"/>
            <w:r w:rsidRPr="001024BB">
              <w:rPr>
                <w:rFonts w:ascii="Arial" w:eastAsia="Times New Roman" w:hAnsi="Arial" w:cs="Arial"/>
                <w:color w:val="000000"/>
                <w:sz w:val="20"/>
                <w:szCs w:val="20"/>
                <w:lang w:eastAsia="ru-RU"/>
              </w:rPr>
              <w:t>’є</w:t>
            </w:r>
            <w:proofErr w:type="gramStart"/>
            <w:r w:rsidRPr="001024BB">
              <w:rPr>
                <w:rFonts w:ascii="Arial" w:eastAsia="Times New Roman" w:hAnsi="Arial" w:cs="Arial"/>
                <w:color w:val="000000"/>
                <w:sz w:val="20"/>
                <w:szCs w:val="20"/>
                <w:lang w:eastAsia="ru-RU"/>
              </w:rPr>
              <w:t>дну</w:t>
            </w:r>
            <w:proofErr w:type="gramEnd"/>
            <w:r w:rsidRPr="001024BB">
              <w:rPr>
                <w:rFonts w:ascii="Arial" w:eastAsia="Times New Roman" w:hAnsi="Arial" w:cs="Arial"/>
                <w:color w:val="000000"/>
                <w:sz w:val="20"/>
                <w:szCs w:val="20"/>
                <w:lang w:eastAsia="ru-RU"/>
              </w:rPr>
              <w:t xml:space="preserve">є зведені кошторисні розрахунки вартості будівництва першої та слідуючих черг».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4. п.2.2.10.1; п.2.2.10.2 та п.2.2.10.3 вилучити.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5. Абзац 3 п.2.3.1 текст </w:t>
            </w:r>
            <w:proofErr w:type="gramStart"/>
            <w:r w:rsidRPr="001024BB">
              <w:rPr>
                <w:rFonts w:ascii="Arial" w:eastAsia="Times New Roman" w:hAnsi="Arial" w:cs="Arial"/>
                <w:color w:val="000000"/>
                <w:sz w:val="20"/>
                <w:szCs w:val="20"/>
                <w:lang w:eastAsia="ru-RU"/>
              </w:rPr>
              <w:t>у</w:t>
            </w:r>
            <w:proofErr w:type="gramEnd"/>
            <w:r w:rsidRPr="001024BB">
              <w:rPr>
                <w:rFonts w:ascii="Arial" w:eastAsia="Times New Roman" w:hAnsi="Arial" w:cs="Arial"/>
                <w:color w:val="000000"/>
                <w:sz w:val="20"/>
                <w:szCs w:val="20"/>
                <w:lang w:eastAsia="ru-RU"/>
              </w:rPr>
              <w:t xml:space="preserve"> дужках вилучити, абзац 4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«об’єктні, локальні кошториси та кошторисні розрахунки».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lastRenderedPageBreak/>
              <w:t xml:space="preserve">6. Перше речення п.2.3.4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«При розробленні документації на стадії </w:t>
            </w:r>
            <w:proofErr w:type="gramStart"/>
            <w:r w:rsidRPr="001024BB">
              <w:rPr>
                <w:rFonts w:ascii="Arial" w:eastAsia="Times New Roman" w:hAnsi="Arial" w:cs="Arial"/>
                <w:color w:val="000000"/>
                <w:sz w:val="20"/>
                <w:szCs w:val="20"/>
                <w:lang w:eastAsia="ru-RU"/>
              </w:rPr>
              <w:t>техн</w:t>
            </w:r>
            <w:proofErr w:type="gramEnd"/>
            <w:r w:rsidRPr="001024BB">
              <w:rPr>
                <w:rFonts w:ascii="Arial" w:eastAsia="Times New Roman" w:hAnsi="Arial" w:cs="Arial"/>
                <w:color w:val="000000"/>
                <w:sz w:val="20"/>
                <w:szCs w:val="20"/>
                <w:lang w:eastAsia="ru-RU"/>
              </w:rPr>
              <w:t>іко-економічного обґрунтування, техніко-економічного розрахунку та ескізного проекту визначається кошторисна вартість будівництва і складаються локальні, об’єктні та зведені кошторисні розрахунки вартості будівництва».</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7. Останнє речення п. 2.3.5 вилучити.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8. п.2.8.13: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 абзац 2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«утримання служби замовника (включаючи витрати на </w:t>
            </w:r>
            <w:proofErr w:type="gramStart"/>
            <w:r w:rsidRPr="001024BB">
              <w:rPr>
                <w:rFonts w:ascii="Arial" w:eastAsia="Times New Roman" w:hAnsi="Arial" w:cs="Arial"/>
                <w:color w:val="000000"/>
                <w:sz w:val="20"/>
                <w:szCs w:val="20"/>
                <w:lang w:eastAsia="ru-RU"/>
              </w:rPr>
              <w:t>техн</w:t>
            </w:r>
            <w:proofErr w:type="gramEnd"/>
            <w:r w:rsidRPr="001024BB">
              <w:rPr>
                <w:rFonts w:ascii="Arial" w:eastAsia="Times New Roman" w:hAnsi="Arial" w:cs="Arial"/>
                <w:color w:val="000000"/>
                <w:sz w:val="20"/>
                <w:szCs w:val="20"/>
                <w:lang w:eastAsia="ru-RU"/>
              </w:rPr>
              <w:t xml:space="preserve">ічний нагляд) в обґрунтованому замовником розмірі, але не більш ніж 2,5% від підсумку глав 1 – 9, графа 8. При цьому, якщо функції замовника здійснює структурний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ідрозділ підприємства, який утримується за рахунок основної діяльності, кошти на утримання служби замовника до зведеного кошторисного розрахунку вартості будівництва не включаються, що обумовлюється завданням на проектування»;</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 абзац 5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«Витрати, пов’язані з проведенням тендерів, включаються тільки в обґрунтованому замовником розмі</w:t>
            </w:r>
            <w:proofErr w:type="gramStart"/>
            <w:r w:rsidRPr="001024BB">
              <w:rPr>
                <w:rFonts w:ascii="Arial" w:eastAsia="Times New Roman" w:hAnsi="Arial" w:cs="Arial"/>
                <w:color w:val="000000"/>
                <w:sz w:val="20"/>
                <w:szCs w:val="20"/>
                <w:lang w:eastAsia="ru-RU"/>
              </w:rPr>
              <w:t>р</w:t>
            </w:r>
            <w:proofErr w:type="gramEnd"/>
            <w:r w:rsidRPr="001024BB">
              <w:rPr>
                <w:rFonts w:ascii="Arial" w:eastAsia="Times New Roman" w:hAnsi="Arial" w:cs="Arial"/>
                <w:color w:val="000000"/>
                <w:sz w:val="20"/>
                <w:szCs w:val="20"/>
                <w:lang w:eastAsia="ru-RU"/>
              </w:rPr>
              <w:t>і, що обумовлюється завданням на проектування, але, як правило, не більше 0,2% ...» далі за текстом;</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 абзац 6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«Витрати, пов’язані з формуванням страхового фонду документації України, включаються в обгрунтованому замовником разом з проектною організацією розмі</w:t>
            </w:r>
            <w:proofErr w:type="gramStart"/>
            <w:r w:rsidRPr="001024BB">
              <w:rPr>
                <w:rFonts w:ascii="Arial" w:eastAsia="Times New Roman" w:hAnsi="Arial" w:cs="Arial"/>
                <w:color w:val="000000"/>
                <w:sz w:val="20"/>
                <w:szCs w:val="20"/>
                <w:lang w:eastAsia="ru-RU"/>
              </w:rPr>
              <w:t>р</w:t>
            </w:r>
            <w:proofErr w:type="gramEnd"/>
            <w:r w:rsidRPr="001024BB">
              <w:rPr>
                <w:rFonts w:ascii="Arial" w:eastAsia="Times New Roman" w:hAnsi="Arial" w:cs="Arial"/>
                <w:color w:val="000000"/>
                <w:sz w:val="20"/>
                <w:szCs w:val="20"/>
                <w:lang w:eastAsia="ru-RU"/>
              </w:rPr>
              <w:t>і виходячи з обсягу документації, що закладається до страхового фонду, та вартості послуг спеціалізованих установ страхового фонду документації в розрахунку на 1 аркуш формату А4, але, як правило, не більше 0,06% від підсумку глав 1 – 9, графи 4 та 5, що обумовлюється завданням на проектування».</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9. Примітку до п.2.8.16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«Внески до Пенсійного фонду України та інших фондів </w:t>
            </w:r>
            <w:proofErr w:type="gramStart"/>
            <w:r w:rsidRPr="001024BB">
              <w:rPr>
                <w:rFonts w:ascii="Arial" w:eastAsia="Times New Roman" w:hAnsi="Arial" w:cs="Arial"/>
                <w:color w:val="000000"/>
                <w:sz w:val="20"/>
                <w:szCs w:val="20"/>
                <w:lang w:eastAsia="ru-RU"/>
              </w:rPr>
              <w:t>соц</w:t>
            </w:r>
            <w:proofErr w:type="gramEnd"/>
            <w:r w:rsidRPr="001024BB">
              <w:rPr>
                <w:rFonts w:ascii="Arial" w:eastAsia="Times New Roman" w:hAnsi="Arial" w:cs="Arial"/>
                <w:color w:val="000000"/>
                <w:sz w:val="20"/>
                <w:szCs w:val="20"/>
                <w:lang w:eastAsia="ru-RU"/>
              </w:rPr>
              <w:t>іального страхування враховуються у загальновиробничих витратах; податок з власників транспортних засобів та інших самохідних машин і механізмів враховується у вартості машино-години».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10.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ідрозділ 2.10 «Основні правила складання розрахунків вартості будівництва» вилучити.</w:t>
            </w:r>
          </w:p>
          <w:p w:rsidR="001024BB" w:rsidRPr="001024BB" w:rsidRDefault="001024BB" w:rsidP="001024BB">
            <w:pPr>
              <w:spacing w:before="100" w:beforeAutospacing="1" w:after="100" w:afterAutospacing="1" w:line="240" w:lineRule="auto"/>
              <w:ind w:firstLine="150"/>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lang w:eastAsia="ru-RU"/>
              </w:rPr>
              <w:t>Розділ 3 Правила визначення вартості будівництва</w:t>
            </w:r>
          </w:p>
          <w:p w:rsidR="001024BB" w:rsidRPr="001024BB" w:rsidRDefault="001024BB" w:rsidP="001024BB">
            <w:pPr>
              <w:spacing w:before="227" w:after="170" w:line="240" w:lineRule="auto"/>
              <w:ind w:left="1304" w:hanging="850"/>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sz w:val="20"/>
                <w:szCs w:val="20"/>
                <w:lang w:eastAsia="ru-RU"/>
              </w:rPr>
              <w:t>3.1 Визначення кошторисної вартості будівництва</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11. У п.3.1.10.1 текст </w:t>
            </w:r>
            <w:proofErr w:type="gramStart"/>
            <w:r w:rsidRPr="001024BB">
              <w:rPr>
                <w:rFonts w:ascii="Arial" w:eastAsia="Times New Roman" w:hAnsi="Arial" w:cs="Arial"/>
                <w:color w:val="000000"/>
                <w:sz w:val="20"/>
                <w:szCs w:val="20"/>
                <w:lang w:eastAsia="ru-RU"/>
              </w:rPr>
              <w:t>у</w:t>
            </w:r>
            <w:proofErr w:type="gramEnd"/>
            <w:r w:rsidRPr="001024BB">
              <w:rPr>
                <w:rFonts w:ascii="Arial" w:eastAsia="Times New Roman" w:hAnsi="Arial" w:cs="Arial"/>
                <w:color w:val="000000"/>
                <w:sz w:val="20"/>
                <w:szCs w:val="20"/>
                <w:lang w:eastAsia="ru-RU"/>
              </w:rPr>
              <w:t xml:space="preserve"> дужках вилучити.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12. Текст п.3.1.10.8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«Поточні ціни на </w:t>
            </w:r>
            <w:proofErr w:type="gramStart"/>
            <w:r w:rsidRPr="001024BB">
              <w:rPr>
                <w:rFonts w:ascii="Arial" w:eastAsia="Times New Roman" w:hAnsi="Arial" w:cs="Arial"/>
                <w:color w:val="000000"/>
                <w:sz w:val="20"/>
                <w:szCs w:val="20"/>
                <w:lang w:eastAsia="ru-RU"/>
              </w:rPr>
              <w:t>матер</w:t>
            </w:r>
            <w:proofErr w:type="gramEnd"/>
            <w:r w:rsidRPr="001024BB">
              <w:rPr>
                <w:rFonts w:ascii="Arial" w:eastAsia="Times New Roman" w:hAnsi="Arial" w:cs="Arial"/>
                <w:color w:val="000000"/>
                <w:sz w:val="20"/>
                <w:szCs w:val="20"/>
                <w:lang w:eastAsia="ru-RU"/>
              </w:rPr>
              <w:t xml:space="preserve">іальні ресурси приймаються за даними замовника за найменшою вартістю, яка не повинна перевищувати цін, зареєстрованих в Мінекономіки.».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13. У п.3.1.13.2 текст </w:t>
            </w:r>
            <w:proofErr w:type="gramStart"/>
            <w:r w:rsidRPr="001024BB">
              <w:rPr>
                <w:rFonts w:ascii="Arial" w:eastAsia="Times New Roman" w:hAnsi="Arial" w:cs="Arial"/>
                <w:color w:val="000000"/>
                <w:sz w:val="20"/>
                <w:szCs w:val="20"/>
                <w:lang w:eastAsia="ru-RU"/>
              </w:rPr>
              <w:t>у</w:t>
            </w:r>
            <w:proofErr w:type="gramEnd"/>
            <w:r w:rsidRPr="001024BB">
              <w:rPr>
                <w:rFonts w:ascii="Arial" w:eastAsia="Times New Roman" w:hAnsi="Arial" w:cs="Arial"/>
                <w:color w:val="000000"/>
                <w:sz w:val="20"/>
                <w:szCs w:val="20"/>
                <w:lang w:eastAsia="ru-RU"/>
              </w:rPr>
              <w:t xml:space="preserve"> дужках вилучити.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14. Третє речення п.3.1.16.6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proofErr w:type="gramStart"/>
            <w:r w:rsidRPr="001024BB">
              <w:rPr>
                <w:rFonts w:ascii="Arial" w:eastAsia="Times New Roman" w:hAnsi="Arial" w:cs="Arial"/>
                <w:color w:val="000000"/>
                <w:sz w:val="20"/>
                <w:szCs w:val="20"/>
                <w:lang w:eastAsia="ru-RU"/>
              </w:rPr>
              <w:t>«Наприклад, витрати з перевезення працівників будівельно-монтажних організацій автомобільним транспортом враховуються у випадках, коли місце дислокації будівельної організацій (пункт збору) знаходиться на відстані більше 3 км від місця роботи, а комунальний або приміський транспорт відсутній або не забезпечує перевезення працівників на буд</w:t>
            </w:r>
            <w:proofErr w:type="gramEnd"/>
            <w:r w:rsidRPr="001024BB">
              <w:rPr>
                <w:rFonts w:ascii="Arial" w:eastAsia="Times New Roman" w:hAnsi="Arial" w:cs="Arial"/>
                <w:color w:val="000000"/>
                <w:sz w:val="20"/>
                <w:szCs w:val="20"/>
                <w:lang w:eastAsia="ru-RU"/>
              </w:rPr>
              <w:t xml:space="preserve">івництво у зазначений час, обчислюються калькуляційним методом на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 xml:space="preserve">ідставі </w:t>
            </w:r>
            <w:r w:rsidRPr="001024BB">
              <w:rPr>
                <w:rFonts w:ascii="Arial" w:eastAsia="Times New Roman" w:hAnsi="Arial" w:cs="Arial"/>
                <w:color w:val="000000"/>
                <w:sz w:val="20"/>
                <w:szCs w:val="20"/>
                <w:lang w:eastAsia="ru-RU"/>
              </w:rPr>
              <w:lastRenderedPageBreak/>
              <w:t>даних проекту організації будівництва та діючих тарифів з перевезення».</w:t>
            </w:r>
          </w:p>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 xml:space="preserve">15. п.3.1.18.2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«Розмі</w:t>
            </w:r>
            <w:proofErr w:type="gramStart"/>
            <w:r w:rsidRPr="001024BB">
              <w:rPr>
                <w:rFonts w:ascii="Arial" w:eastAsia="Times New Roman" w:hAnsi="Arial" w:cs="Arial"/>
                <w:color w:val="000000"/>
                <w:sz w:val="20"/>
                <w:szCs w:val="20"/>
                <w:lang w:eastAsia="ru-RU"/>
              </w:rPr>
              <w:t>р</w:t>
            </w:r>
            <w:proofErr w:type="gramEnd"/>
            <w:r w:rsidRPr="001024BB">
              <w:rPr>
                <w:rFonts w:ascii="Arial" w:eastAsia="Times New Roman" w:hAnsi="Arial" w:cs="Arial"/>
                <w:color w:val="000000"/>
                <w:sz w:val="20"/>
                <w:szCs w:val="20"/>
                <w:lang w:eastAsia="ru-RU"/>
              </w:rPr>
              <w:t xml:space="preserve"> кошторисного прибутку приймається з урахуванням усереднених показників, наведених у додатку 12, з урахуванням обмежень, встановлених законодавством. Базою для обчислення кошторисного прибутку є загальна кошторисна трудомісткість*. По будовах (об’єктах), до складу яких входять об’єкти </w:t>
            </w:r>
            <w:proofErr w:type="gramStart"/>
            <w:r w:rsidRPr="001024BB">
              <w:rPr>
                <w:rFonts w:ascii="Arial" w:eastAsia="Times New Roman" w:hAnsi="Arial" w:cs="Arial"/>
                <w:color w:val="000000"/>
                <w:sz w:val="20"/>
                <w:szCs w:val="20"/>
                <w:lang w:eastAsia="ru-RU"/>
              </w:rPr>
              <w:t>р</w:t>
            </w:r>
            <w:proofErr w:type="gramEnd"/>
            <w:r w:rsidRPr="001024BB">
              <w:rPr>
                <w:rFonts w:ascii="Arial" w:eastAsia="Times New Roman" w:hAnsi="Arial" w:cs="Arial"/>
                <w:color w:val="000000"/>
                <w:sz w:val="20"/>
                <w:szCs w:val="20"/>
                <w:lang w:eastAsia="ru-RU"/>
              </w:rPr>
              <w:t xml:space="preserve">ізного призначення, кошторисний прибуток визначається диференційовано виходячи з виду та призначення конкретного об’єкта і зазначається в графах 4, 5 та 8 ЗКР».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16. Абзац 2 п.3.1.20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«Кошти на покриття додаткових витрат, пов’язаних з інфляційними процесами, розраховуються виходячи з початку та строків будівництва, виду будови, структури робіт, вартості матеріально-технічних ресурсів, врахованих у локальних кошторисах, та прогнозного зростання цін на ці ресурси за період будівництва, яке визначається на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ідставі прогнозного рівня інфляції на наступний період, що встановлюється Кабінетом Міні</w:t>
            </w:r>
            <w:proofErr w:type="gramStart"/>
            <w:r w:rsidRPr="001024BB">
              <w:rPr>
                <w:rFonts w:ascii="Arial" w:eastAsia="Times New Roman" w:hAnsi="Arial" w:cs="Arial"/>
                <w:color w:val="000000"/>
                <w:sz w:val="20"/>
                <w:szCs w:val="20"/>
                <w:lang w:eastAsia="ru-RU"/>
              </w:rPr>
              <w:t>стр</w:t>
            </w:r>
            <w:proofErr w:type="gramEnd"/>
            <w:r w:rsidRPr="001024BB">
              <w:rPr>
                <w:rFonts w:ascii="Arial" w:eastAsia="Times New Roman" w:hAnsi="Arial" w:cs="Arial"/>
                <w:color w:val="000000"/>
                <w:sz w:val="20"/>
                <w:szCs w:val="20"/>
                <w:lang w:eastAsia="ru-RU"/>
              </w:rPr>
              <w:t xml:space="preserve">ів України».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17. п.3.1.21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«Кошти на страхування ризиків замовника в будівництві включаються до зведеного кошторисного розрахунку вартості будівництва тільки в обґрунтованих випадках за відповідними розрахунками». </w:t>
            </w:r>
          </w:p>
          <w:p w:rsidR="001024BB" w:rsidRPr="001024BB" w:rsidRDefault="001024BB" w:rsidP="001024BB">
            <w:pPr>
              <w:spacing w:before="227" w:after="170" w:line="240" w:lineRule="auto"/>
              <w:ind w:left="1304" w:hanging="850"/>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sz w:val="20"/>
                <w:szCs w:val="20"/>
                <w:lang w:eastAsia="ru-RU"/>
              </w:rPr>
              <w:t xml:space="preserve">3.2 </w:t>
            </w:r>
            <w:proofErr w:type="gramStart"/>
            <w:r w:rsidRPr="001024BB">
              <w:rPr>
                <w:rFonts w:ascii="Arial" w:eastAsia="Times New Roman" w:hAnsi="Arial" w:cs="Arial"/>
                <w:b/>
                <w:bCs/>
                <w:color w:val="000000"/>
                <w:sz w:val="20"/>
                <w:szCs w:val="20"/>
                <w:lang w:eastAsia="ru-RU"/>
              </w:rPr>
              <w:t>Ц</w:t>
            </w:r>
            <w:proofErr w:type="gramEnd"/>
            <w:r w:rsidRPr="001024BB">
              <w:rPr>
                <w:rFonts w:ascii="Arial" w:eastAsia="Times New Roman" w:hAnsi="Arial" w:cs="Arial"/>
                <w:b/>
                <w:bCs/>
                <w:color w:val="000000"/>
                <w:sz w:val="20"/>
                <w:szCs w:val="20"/>
                <w:lang w:eastAsia="ru-RU"/>
              </w:rPr>
              <w:t>іна тендерної пропозиції</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18. Перший абзац п.3.2.5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«Поточні ціни на </w:t>
            </w:r>
            <w:proofErr w:type="gramStart"/>
            <w:r w:rsidRPr="001024BB">
              <w:rPr>
                <w:rFonts w:ascii="Arial" w:eastAsia="Times New Roman" w:hAnsi="Arial" w:cs="Arial"/>
                <w:color w:val="000000"/>
                <w:sz w:val="20"/>
                <w:szCs w:val="20"/>
                <w:lang w:eastAsia="ru-RU"/>
              </w:rPr>
              <w:t>матер</w:t>
            </w:r>
            <w:proofErr w:type="gramEnd"/>
            <w:r w:rsidRPr="001024BB">
              <w:rPr>
                <w:rFonts w:ascii="Arial" w:eastAsia="Times New Roman" w:hAnsi="Arial" w:cs="Arial"/>
                <w:color w:val="000000"/>
                <w:sz w:val="20"/>
                <w:szCs w:val="20"/>
                <w:lang w:eastAsia="ru-RU"/>
              </w:rPr>
              <w:t xml:space="preserve">іальні ресурси приймаються за найменшою вартістю, яка не повинна перевищувати цін, зареєстрованих в Мінекономіки відповідно до законодавства».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19. п.3.2.7.8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«Якщо внаслідок об’єктивних причин </w:t>
            </w:r>
            <w:proofErr w:type="gramStart"/>
            <w:r w:rsidRPr="001024BB">
              <w:rPr>
                <w:rFonts w:ascii="Arial" w:eastAsia="Times New Roman" w:hAnsi="Arial" w:cs="Arial"/>
                <w:color w:val="000000"/>
                <w:sz w:val="20"/>
                <w:szCs w:val="20"/>
                <w:lang w:eastAsia="ru-RU"/>
              </w:rPr>
              <w:t>будь-як</w:t>
            </w:r>
            <w:proofErr w:type="gramEnd"/>
            <w:r w:rsidRPr="001024BB">
              <w:rPr>
                <w:rFonts w:ascii="Arial" w:eastAsia="Times New Roman" w:hAnsi="Arial" w:cs="Arial"/>
                <w:color w:val="000000"/>
                <w:sz w:val="20"/>
                <w:szCs w:val="20"/>
                <w:lang w:eastAsia="ru-RU"/>
              </w:rPr>
              <w:t xml:space="preserve">і матеріали або вироби, передбачені державними ресурсними елементними кошторисними нормами, замінюються на інші, розробляються та затверджуються в установленому порядку відповідні ресурсні елементні кошторисні норми».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20. п.3.2.12.1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«Розмі</w:t>
            </w:r>
            <w:proofErr w:type="gramStart"/>
            <w:r w:rsidRPr="001024BB">
              <w:rPr>
                <w:rFonts w:ascii="Arial" w:eastAsia="Times New Roman" w:hAnsi="Arial" w:cs="Arial"/>
                <w:color w:val="000000"/>
                <w:sz w:val="20"/>
                <w:szCs w:val="20"/>
                <w:lang w:eastAsia="ru-RU"/>
              </w:rPr>
              <w:t>р</w:t>
            </w:r>
            <w:proofErr w:type="gramEnd"/>
            <w:r w:rsidRPr="001024BB">
              <w:rPr>
                <w:rFonts w:ascii="Arial" w:eastAsia="Times New Roman" w:hAnsi="Arial" w:cs="Arial"/>
                <w:color w:val="000000"/>
                <w:sz w:val="20"/>
                <w:szCs w:val="20"/>
                <w:lang w:eastAsia="ru-RU"/>
              </w:rPr>
              <w:t xml:space="preserve"> прибутку, якщо він планується, приймається в межах усереднених показників, наведених у додатку 12, з урахуванням обмежень, встановлених законодавством.</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По будовах (об’єктах), до складу яких входять об’єкти </w:t>
            </w:r>
            <w:proofErr w:type="gramStart"/>
            <w:r w:rsidRPr="001024BB">
              <w:rPr>
                <w:rFonts w:ascii="Arial" w:eastAsia="Times New Roman" w:hAnsi="Arial" w:cs="Arial"/>
                <w:color w:val="000000"/>
                <w:sz w:val="20"/>
                <w:szCs w:val="20"/>
                <w:lang w:eastAsia="ru-RU"/>
              </w:rPr>
              <w:t>р</w:t>
            </w:r>
            <w:proofErr w:type="gramEnd"/>
            <w:r w:rsidRPr="001024BB">
              <w:rPr>
                <w:rFonts w:ascii="Arial" w:eastAsia="Times New Roman" w:hAnsi="Arial" w:cs="Arial"/>
                <w:color w:val="000000"/>
                <w:sz w:val="20"/>
                <w:szCs w:val="20"/>
                <w:lang w:eastAsia="ru-RU"/>
              </w:rPr>
              <w:t xml:space="preserve">ізного призначення, кошторисний прибуток визначається диференційовано виходячи з виду та призначення конкретного об’єкта».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21. Абзац 9 п.3.2.13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«Зазначені кошти враховуються у розмі</w:t>
            </w:r>
            <w:proofErr w:type="gramStart"/>
            <w:r w:rsidRPr="001024BB">
              <w:rPr>
                <w:rFonts w:ascii="Arial" w:eastAsia="Times New Roman" w:hAnsi="Arial" w:cs="Arial"/>
                <w:color w:val="000000"/>
                <w:sz w:val="20"/>
                <w:szCs w:val="20"/>
                <w:lang w:eastAsia="ru-RU"/>
              </w:rPr>
              <w:t>р</w:t>
            </w:r>
            <w:proofErr w:type="gramEnd"/>
            <w:r w:rsidRPr="001024BB">
              <w:rPr>
                <w:rFonts w:ascii="Arial" w:eastAsia="Times New Roman" w:hAnsi="Arial" w:cs="Arial"/>
                <w:color w:val="000000"/>
                <w:sz w:val="20"/>
                <w:szCs w:val="20"/>
                <w:lang w:eastAsia="ru-RU"/>
              </w:rPr>
              <w:t>і, визначеному на підставі обґрунтовувальних розрахунків підрядника, виходячи з перелічених факторів. При цьому: …» далі за текстом.</w:t>
            </w:r>
          </w:p>
          <w:p w:rsidR="001024BB" w:rsidRPr="001024BB" w:rsidRDefault="001024BB" w:rsidP="001024BB">
            <w:pPr>
              <w:spacing w:before="227" w:after="170" w:line="240" w:lineRule="auto"/>
              <w:ind w:left="794" w:hanging="340"/>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sz w:val="20"/>
                <w:szCs w:val="20"/>
                <w:lang w:eastAsia="ru-RU"/>
              </w:rPr>
              <w:t>3.3 Особливості узгодження договірних цін та розрахункі</w:t>
            </w:r>
            <w:proofErr w:type="gramStart"/>
            <w:r w:rsidRPr="001024BB">
              <w:rPr>
                <w:rFonts w:ascii="Arial" w:eastAsia="Times New Roman" w:hAnsi="Arial" w:cs="Arial"/>
                <w:b/>
                <w:bCs/>
                <w:color w:val="000000"/>
                <w:sz w:val="20"/>
                <w:szCs w:val="20"/>
                <w:lang w:eastAsia="ru-RU"/>
              </w:rPr>
              <w:t>в</w:t>
            </w:r>
            <w:proofErr w:type="gramEnd"/>
            <w:r w:rsidRPr="001024BB">
              <w:rPr>
                <w:rFonts w:ascii="Arial" w:eastAsia="Times New Roman" w:hAnsi="Arial" w:cs="Arial"/>
                <w:b/>
                <w:bCs/>
                <w:color w:val="000000"/>
                <w:sz w:val="20"/>
                <w:szCs w:val="20"/>
                <w:lang w:eastAsia="ru-RU"/>
              </w:rPr>
              <w:t xml:space="preserve"> за обсяги виконаних робіт</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22. п.3.3.3.1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«Вид договірної ціни встановлюється сторонами (замовник,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ідрядник) з урахуванням положень законодавства».</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23. п.3.3.3.2 доповнити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ідпунктами такого змісту:</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«г) уповільнення темпів або зупинення виконання робіт за </w:t>
            </w:r>
            <w:proofErr w:type="gramStart"/>
            <w:r w:rsidRPr="001024BB">
              <w:rPr>
                <w:rFonts w:ascii="Arial" w:eastAsia="Times New Roman" w:hAnsi="Arial" w:cs="Arial"/>
                <w:color w:val="000000"/>
                <w:sz w:val="20"/>
                <w:szCs w:val="20"/>
                <w:lang w:eastAsia="ru-RU"/>
              </w:rPr>
              <w:t>р</w:t>
            </w:r>
            <w:proofErr w:type="gramEnd"/>
            <w:r w:rsidRPr="001024BB">
              <w:rPr>
                <w:rFonts w:ascii="Arial" w:eastAsia="Times New Roman" w:hAnsi="Arial" w:cs="Arial"/>
                <w:color w:val="000000"/>
                <w:sz w:val="20"/>
                <w:szCs w:val="20"/>
                <w:lang w:eastAsia="ru-RU"/>
              </w:rPr>
              <w:t>ішенням замовника, або з його вини, якщо це спричинило додаткові витрати підрядника;</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lastRenderedPageBreak/>
              <w:t>д) зміни законодавства з питань оподаткування, якщо це впливає на вартість робі</w:t>
            </w:r>
            <w:proofErr w:type="gramStart"/>
            <w:r w:rsidRPr="001024BB">
              <w:rPr>
                <w:rFonts w:ascii="Arial" w:eastAsia="Times New Roman" w:hAnsi="Arial" w:cs="Arial"/>
                <w:color w:val="000000"/>
                <w:sz w:val="20"/>
                <w:szCs w:val="20"/>
                <w:lang w:eastAsia="ru-RU"/>
              </w:rPr>
              <w:t>т</w:t>
            </w:r>
            <w:proofErr w:type="gramEnd"/>
            <w:r w:rsidRPr="001024BB">
              <w:rPr>
                <w:rFonts w:ascii="Arial" w:eastAsia="Times New Roman" w:hAnsi="Arial" w:cs="Arial"/>
                <w:color w:val="000000"/>
                <w:sz w:val="20"/>
                <w:szCs w:val="20"/>
                <w:lang w:eastAsia="ru-RU"/>
              </w:rPr>
              <w:t>;</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е) істотного зростання (у розмі</w:t>
            </w:r>
            <w:proofErr w:type="gramStart"/>
            <w:r w:rsidRPr="001024BB">
              <w:rPr>
                <w:rFonts w:ascii="Arial" w:eastAsia="Times New Roman" w:hAnsi="Arial" w:cs="Arial"/>
                <w:color w:val="000000"/>
                <w:sz w:val="20"/>
                <w:szCs w:val="20"/>
                <w:lang w:eastAsia="ru-RU"/>
              </w:rPr>
              <w:t>р</w:t>
            </w:r>
            <w:proofErr w:type="gramEnd"/>
            <w:r w:rsidRPr="001024BB">
              <w:rPr>
                <w:rFonts w:ascii="Arial" w:eastAsia="Times New Roman" w:hAnsi="Arial" w:cs="Arial"/>
                <w:color w:val="000000"/>
                <w:sz w:val="20"/>
                <w:szCs w:val="20"/>
                <w:lang w:eastAsia="ru-RU"/>
              </w:rPr>
              <w:t>і, визначеному сторонами) або зменшення після укладення договору підряду цін на ресурси, які забезпечує підрядник, а також на послуги, що надаються йому третіми особами.».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24. п.3.3.4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«При погодженні договірної ціни замовник, розглядаючи її складові, перевіряє вартість матеріальних ресурсів, яка не </w:t>
            </w:r>
            <w:proofErr w:type="gramStart"/>
            <w:r w:rsidRPr="001024BB">
              <w:rPr>
                <w:rFonts w:ascii="Arial" w:eastAsia="Times New Roman" w:hAnsi="Arial" w:cs="Arial"/>
                <w:color w:val="000000"/>
                <w:sz w:val="20"/>
                <w:szCs w:val="20"/>
                <w:lang w:eastAsia="ru-RU"/>
              </w:rPr>
              <w:t>повинна</w:t>
            </w:r>
            <w:proofErr w:type="gramEnd"/>
            <w:r w:rsidRPr="001024BB">
              <w:rPr>
                <w:rFonts w:ascii="Arial" w:eastAsia="Times New Roman" w:hAnsi="Arial" w:cs="Arial"/>
                <w:color w:val="000000"/>
                <w:sz w:val="20"/>
                <w:szCs w:val="20"/>
                <w:lang w:eastAsia="ru-RU"/>
              </w:rPr>
              <w:t xml:space="preserve"> перевищувати мінімальних цін, встановлених Мінекономіки».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25. п.3.3.6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«Уточнення динамічних договірних цін здійснюється на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 xml:space="preserve">ідставі обґрунтовувальних розрахунків підрядника виходячи з мінімальної вартості матеріально-технічних ресурсів, що склалася на момент уточнення. При цьому, вартість матеріальних ресурсів не </w:t>
            </w:r>
            <w:proofErr w:type="gramStart"/>
            <w:r w:rsidRPr="001024BB">
              <w:rPr>
                <w:rFonts w:ascii="Arial" w:eastAsia="Times New Roman" w:hAnsi="Arial" w:cs="Arial"/>
                <w:color w:val="000000"/>
                <w:sz w:val="20"/>
                <w:szCs w:val="20"/>
                <w:lang w:eastAsia="ru-RU"/>
              </w:rPr>
              <w:t>повинна</w:t>
            </w:r>
            <w:proofErr w:type="gramEnd"/>
            <w:r w:rsidRPr="001024BB">
              <w:rPr>
                <w:rFonts w:ascii="Arial" w:eastAsia="Times New Roman" w:hAnsi="Arial" w:cs="Arial"/>
                <w:color w:val="000000"/>
                <w:sz w:val="20"/>
                <w:szCs w:val="20"/>
                <w:lang w:eastAsia="ru-RU"/>
              </w:rPr>
              <w:t xml:space="preserve"> перевищувати зареєстрованих в Мінекономіки цін на ці ресурси».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26. п.3.3.10.3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«При взаєморозрахунках за обсяги виконаних робіт кошти на покриття витрат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ідрядника на зведення або пристосування тимчасових будівель і споруд визначаються на підставі виконавчого кошторису, погодженого із замовником, та фактично збудованих (пристосованих) будівель і споруд з урахуванням рішень проекту організації будівництва».</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27. Абзац 1 п.3.3.13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«При взаєморозрахунках за обсяги виконаних робіт вартість матеріальних ресурсів, отриманих від розбирання конструкцій, знесення будівель і споруд та придатних для подальшого використання* на тій самій будові визначаються на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 xml:space="preserve">ідставі їх номенклатури, кількості та обґрунтованих цін».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28. п.3.3.15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proofErr w:type="gramStart"/>
            <w:r w:rsidRPr="001024BB">
              <w:rPr>
                <w:rFonts w:ascii="Arial" w:eastAsia="Times New Roman" w:hAnsi="Arial" w:cs="Arial"/>
                <w:color w:val="000000"/>
                <w:sz w:val="20"/>
                <w:szCs w:val="20"/>
                <w:lang w:eastAsia="ru-RU"/>
              </w:rPr>
              <w:t>«Визначення прибутку для субпідрядних організацій можна здійснювати або виходячи з загальної маси прибутку на будову (об’єкт) та питомої ваги обсягу будівельно-монтажних робіт, що їм доручається для виконання в загальному обсязі будівельно-монтажних робіт будови (об’єкта), або виходячи з нормативно-розрахункових трудовитрат на ці обсяги та загальної трудомісткості робіт на</w:t>
            </w:r>
            <w:proofErr w:type="gramEnd"/>
            <w:r w:rsidRPr="001024BB">
              <w:rPr>
                <w:rFonts w:ascii="Arial" w:eastAsia="Times New Roman" w:hAnsi="Arial" w:cs="Arial"/>
                <w:color w:val="000000"/>
                <w:sz w:val="20"/>
                <w:szCs w:val="20"/>
                <w:lang w:eastAsia="ru-RU"/>
              </w:rPr>
              <w:t xml:space="preserve"> будову (об’єкт), або за будь-яким іншим способом, встановленим сторонами (генпідрядником та субпідрядником) і обумовленим договором з урахуванням обмежень, встановлених законодавством». </w:t>
            </w:r>
          </w:p>
          <w:p w:rsidR="001024BB" w:rsidRDefault="001024BB" w:rsidP="001024BB">
            <w:pPr>
              <w:spacing w:before="100" w:beforeAutospacing="1" w:after="100" w:afterAutospacing="1" w:line="240" w:lineRule="auto"/>
              <w:ind w:firstLine="150"/>
              <w:jc w:val="center"/>
              <w:rPr>
                <w:rFonts w:ascii="Arial" w:eastAsia="Times New Roman" w:hAnsi="Arial" w:cs="Arial"/>
                <w:b/>
                <w:bCs/>
                <w:color w:val="000000"/>
                <w:lang w:eastAsia="ru-RU"/>
              </w:rPr>
            </w:pPr>
          </w:p>
          <w:p w:rsidR="001024BB" w:rsidRPr="001024BB" w:rsidRDefault="001024BB" w:rsidP="001024BB">
            <w:pPr>
              <w:spacing w:before="100" w:beforeAutospacing="1" w:after="100" w:afterAutospacing="1" w:line="240" w:lineRule="auto"/>
              <w:ind w:firstLine="150"/>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lang w:eastAsia="ru-RU"/>
              </w:rPr>
              <w:t xml:space="preserve">Розділ 4 Правила визначення загальновиробничих </w:t>
            </w:r>
            <w:r w:rsidRPr="001024BB">
              <w:rPr>
                <w:rFonts w:ascii="Arial" w:eastAsia="Times New Roman" w:hAnsi="Arial" w:cs="Arial"/>
                <w:b/>
                <w:bCs/>
                <w:color w:val="000000"/>
                <w:lang w:eastAsia="ru-RU"/>
              </w:rPr>
              <w:br/>
              <w:t xml:space="preserve">та </w:t>
            </w:r>
            <w:proofErr w:type="gramStart"/>
            <w:r w:rsidRPr="001024BB">
              <w:rPr>
                <w:rFonts w:ascii="Arial" w:eastAsia="Times New Roman" w:hAnsi="Arial" w:cs="Arial"/>
                <w:b/>
                <w:bCs/>
                <w:color w:val="000000"/>
                <w:lang w:eastAsia="ru-RU"/>
              </w:rPr>
              <w:t>адм</w:t>
            </w:r>
            <w:proofErr w:type="gramEnd"/>
            <w:r w:rsidRPr="001024BB">
              <w:rPr>
                <w:rFonts w:ascii="Arial" w:eastAsia="Times New Roman" w:hAnsi="Arial" w:cs="Arial"/>
                <w:b/>
                <w:bCs/>
                <w:color w:val="000000"/>
                <w:lang w:eastAsia="ru-RU"/>
              </w:rPr>
              <w:t>іністративних витрат</w:t>
            </w:r>
          </w:p>
          <w:p w:rsidR="001024BB" w:rsidRPr="001024BB" w:rsidRDefault="001024BB" w:rsidP="001024BB">
            <w:pPr>
              <w:spacing w:before="227" w:after="170" w:line="240" w:lineRule="auto"/>
              <w:ind w:left="1304" w:hanging="850"/>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sz w:val="20"/>
                <w:szCs w:val="20"/>
                <w:lang w:eastAsia="ru-RU"/>
              </w:rPr>
              <w:t xml:space="preserve">4.1 Загальні положення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29. </w:t>
            </w:r>
            <w:proofErr w:type="gramStart"/>
            <w:r w:rsidRPr="001024BB">
              <w:rPr>
                <w:rFonts w:ascii="Arial" w:eastAsia="Times New Roman" w:hAnsi="Arial" w:cs="Arial"/>
                <w:color w:val="000000"/>
                <w:sz w:val="20"/>
                <w:szCs w:val="20"/>
                <w:lang w:eastAsia="ru-RU"/>
              </w:rPr>
              <w:t>У</w:t>
            </w:r>
            <w:proofErr w:type="gramEnd"/>
            <w:r w:rsidRPr="001024BB">
              <w:rPr>
                <w:rFonts w:ascii="Arial" w:eastAsia="Times New Roman" w:hAnsi="Arial" w:cs="Arial"/>
                <w:color w:val="000000"/>
                <w:sz w:val="20"/>
                <w:szCs w:val="20"/>
                <w:lang w:eastAsia="ru-RU"/>
              </w:rPr>
              <w:t xml:space="preserve"> абзаці 2 п.4.1.2 текст в дужках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w:t>
            </w:r>
            <w:proofErr w:type="gramStart"/>
            <w:r w:rsidRPr="001024BB">
              <w:rPr>
                <w:rFonts w:ascii="Arial" w:eastAsia="Times New Roman" w:hAnsi="Arial" w:cs="Arial"/>
                <w:color w:val="000000"/>
                <w:sz w:val="20"/>
                <w:szCs w:val="20"/>
                <w:lang w:eastAsia="ru-RU"/>
              </w:rPr>
              <w:t>кр</w:t>
            </w:r>
            <w:proofErr w:type="gramEnd"/>
            <w:r w:rsidRPr="001024BB">
              <w:rPr>
                <w:rFonts w:ascii="Arial" w:eastAsia="Times New Roman" w:hAnsi="Arial" w:cs="Arial"/>
                <w:color w:val="000000"/>
                <w:sz w:val="20"/>
                <w:szCs w:val="20"/>
                <w:lang w:eastAsia="ru-RU"/>
              </w:rPr>
              <w:t>ім пунктів 6, 11, 14, 15, 16 та витрат з операційної оренди та страхування майна …» далі за текстом.</w:t>
            </w:r>
          </w:p>
          <w:p w:rsidR="001024BB" w:rsidRPr="001024BB" w:rsidRDefault="001024BB" w:rsidP="001024BB">
            <w:pPr>
              <w:spacing w:before="227" w:after="170" w:line="240" w:lineRule="auto"/>
              <w:ind w:left="1304" w:hanging="850"/>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sz w:val="20"/>
                <w:szCs w:val="20"/>
                <w:lang w:eastAsia="ru-RU"/>
              </w:rPr>
              <w:t xml:space="preserve">4.2 Порядок визначення загальновиробничих витрат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30. п.4.2.1.6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«Показники для обчислення загальновиробничих витрат, уточнені на стадії визначення ціни пропозиції (договірної ціни) на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ідставі обґрунтованої їх величини і структури, яка склалася у цій організації за попередній звітний період (рік), та завантаженості будівельної організації, погоджуються із замовником і використовуються при проведенні взаєморозрахунків за обсяги виконаних робіт. Уточнення загальновиробничих витрат при проведенні взаєморозрахункі</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за обсяги виконаних робіт здійснюються в порядку, встановленому договором.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lastRenderedPageBreak/>
              <w:t xml:space="preserve">Усереднені показники загальновиробничих витрат, наведені в додатках 3, 4 до цього ДБН, слугують орієнтиром і можуть використовуватися замовником для співставлення загальновиробничих витрат, обчислених в інвесторській кошторисній документації, з загальновиробничими витратами, розрахованими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ідрядною організацією при складанні ціни тендерної пропозиції».</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31. п.4.3 викласти в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«У інвесторській кошторисній документації кошти на покриття </w:t>
            </w:r>
            <w:proofErr w:type="gramStart"/>
            <w:r w:rsidRPr="001024BB">
              <w:rPr>
                <w:rFonts w:ascii="Arial" w:eastAsia="Times New Roman" w:hAnsi="Arial" w:cs="Arial"/>
                <w:color w:val="000000"/>
                <w:sz w:val="20"/>
                <w:szCs w:val="20"/>
                <w:lang w:eastAsia="ru-RU"/>
              </w:rPr>
              <w:t>адм</w:t>
            </w:r>
            <w:proofErr w:type="gramEnd"/>
            <w:r w:rsidRPr="001024BB">
              <w:rPr>
                <w:rFonts w:ascii="Arial" w:eastAsia="Times New Roman" w:hAnsi="Arial" w:cs="Arial"/>
                <w:color w:val="000000"/>
                <w:sz w:val="20"/>
                <w:szCs w:val="20"/>
                <w:lang w:eastAsia="ru-RU"/>
              </w:rPr>
              <w:t xml:space="preserve">іністративних витрат будівельно-монтажних організацій визначаються на підставі усереднених показників (додаток 13 до цього ДБН). По будовах (об’єктах), до складу яких входять об’єкти </w:t>
            </w:r>
            <w:proofErr w:type="gramStart"/>
            <w:r w:rsidRPr="001024BB">
              <w:rPr>
                <w:rFonts w:ascii="Arial" w:eastAsia="Times New Roman" w:hAnsi="Arial" w:cs="Arial"/>
                <w:color w:val="000000"/>
                <w:sz w:val="20"/>
                <w:szCs w:val="20"/>
                <w:lang w:eastAsia="ru-RU"/>
              </w:rPr>
              <w:t>р</w:t>
            </w:r>
            <w:proofErr w:type="gramEnd"/>
            <w:r w:rsidRPr="001024BB">
              <w:rPr>
                <w:rFonts w:ascii="Arial" w:eastAsia="Times New Roman" w:hAnsi="Arial" w:cs="Arial"/>
                <w:color w:val="000000"/>
                <w:sz w:val="20"/>
                <w:szCs w:val="20"/>
                <w:lang w:eastAsia="ru-RU"/>
              </w:rPr>
              <w:t>ізного призначення, адміністративні витрати визначаються диференційовано виходячи з виду конкретного об’єкта.</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На стадії визначення ціни пропозиції </w:t>
            </w:r>
            <w:proofErr w:type="gramStart"/>
            <w:r w:rsidRPr="001024BB">
              <w:rPr>
                <w:rFonts w:ascii="Arial" w:eastAsia="Times New Roman" w:hAnsi="Arial" w:cs="Arial"/>
                <w:color w:val="000000"/>
                <w:sz w:val="20"/>
                <w:szCs w:val="20"/>
                <w:lang w:eastAsia="ru-RU"/>
              </w:rPr>
              <w:t>адм</w:t>
            </w:r>
            <w:proofErr w:type="gramEnd"/>
            <w:r w:rsidRPr="001024BB">
              <w:rPr>
                <w:rFonts w:ascii="Arial" w:eastAsia="Times New Roman" w:hAnsi="Arial" w:cs="Arial"/>
                <w:color w:val="000000"/>
                <w:sz w:val="20"/>
                <w:szCs w:val="20"/>
                <w:lang w:eastAsia="ru-RU"/>
              </w:rPr>
              <w:t xml:space="preserve">іністративні витрати визначаються підрядником на підставі обгрунтованої їх величини і структури, яка склалася у цій організації за попередній звітний період (рік), та завантаженості будівельної організації. Уточнені показники адміністративних витрат, погоджені із замовником на стадії узгодження договірної ціни, використовуються при проведенні взаєморозрахунків за обсяги виконаних робіт. За необхідності уточнення показників </w:t>
            </w:r>
            <w:proofErr w:type="gramStart"/>
            <w:r w:rsidRPr="001024BB">
              <w:rPr>
                <w:rFonts w:ascii="Arial" w:eastAsia="Times New Roman" w:hAnsi="Arial" w:cs="Arial"/>
                <w:color w:val="000000"/>
                <w:sz w:val="20"/>
                <w:szCs w:val="20"/>
                <w:lang w:eastAsia="ru-RU"/>
              </w:rPr>
              <w:t>адм</w:t>
            </w:r>
            <w:proofErr w:type="gramEnd"/>
            <w:r w:rsidRPr="001024BB">
              <w:rPr>
                <w:rFonts w:ascii="Arial" w:eastAsia="Times New Roman" w:hAnsi="Arial" w:cs="Arial"/>
                <w:color w:val="000000"/>
                <w:sz w:val="20"/>
                <w:szCs w:val="20"/>
                <w:lang w:eastAsia="ru-RU"/>
              </w:rPr>
              <w:t xml:space="preserve">іністративних витрат в процесі будівництва встановлюється договором». </w:t>
            </w:r>
          </w:p>
          <w:p w:rsidR="001024BB" w:rsidRPr="001024BB" w:rsidRDefault="001024BB" w:rsidP="001024BB">
            <w:pPr>
              <w:spacing w:before="100" w:beforeAutospacing="1" w:after="100" w:afterAutospacing="1" w:line="240" w:lineRule="auto"/>
              <w:ind w:firstLine="150"/>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lang w:eastAsia="ru-RU"/>
              </w:rPr>
              <w:t>Зміни до додатків</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1. Додаток</w:t>
            </w:r>
            <w:proofErr w:type="gramStart"/>
            <w:r w:rsidRPr="001024BB">
              <w:rPr>
                <w:rFonts w:ascii="Arial" w:eastAsia="Times New Roman" w:hAnsi="Arial" w:cs="Arial"/>
                <w:color w:val="000000"/>
                <w:sz w:val="20"/>
                <w:szCs w:val="20"/>
                <w:lang w:eastAsia="ru-RU"/>
              </w:rPr>
              <w:t xml:space="preserve"> Б</w:t>
            </w:r>
            <w:proofErr w:type="gramEnd"/>
            <w:r w:rsidRPr="001024BB">
              <w:rPr>
                <w:rFonts w:ascii="Arial" w:eastAsia="Times New Roman" w:hAnsi="Arial" w:cs="Arial"/>
                <w:color w:val="000000"/>
                <w:sz w:val="20"/>
                <w:szCs w:val="20"/>
                <w:lang w:eastAsia="ru-RU"/>
              </w:rPr>
              <w:t xml:space="preserve">: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 у </w:t>
            </w:r>
            <w:proofErr w:type="gramStart"/>
            <w:r w:rsidRPr="001024BB">
              <w:rPr>
                <w:rFonts w:ascii="Arial" w:eastAsia="Times New Roman" w:hAnsi="Arial" w:cs="Arial"/>
                <w:color w:val="000000"/>
                <w:sz w:val="20"/>
                <w:szCs w:val="20"/>
                <w:lang w:eastAsia="ru-RU"/>
              </w:rPr>
              <w:t>графах</w:t>
            </w:r>
            <w:proofErr w:type="gramEnd"/>
            <w:r w:rsidRPr="001024BB">
              <w:rPr>
                <w:rFonts w:ascii="Arial" w:eastAsia="Times New Roman" w:hAnsi="Arial" w:cs="Arial"/>
                <w:color w:val="000000"/>
                <w:sz w:val="20"/>
                <w:szCs w:val="20"/>
                <w:lang w:eastAsia="ru-RU"/>
              </w:rPr>
              <w:t xml:space="preserve"> 5 та 6 п.7 знак « + » замінити на знак « – »;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у графі 3 п.8 замість «Податок» записати «Плата»;</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у п.44 вилучити рядки: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 утримання готелів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аеропортах»;</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 утримання диспетчерських служб </w:t>
            </w:r>
            <w:proofErr w:type="gramStart"/>
            <w:r w:rsidRPr="001024BB">
              <w:rPr>
                <w:rFonts w:ascii="Arial" w:eastAsia="Times New Roman" w:hAnsi="Arial" w:cs="Arial"/>
                <w:color w:val="000000"/>
                <w:sz w:val="20"/>
                <w:szCs w:val="20"/>
                <w:lang w:eastAsia="ru-RU"/>
              </w:rPr>
              <w:t>з ав</w:t>
            </w:r>
            <w:proofErr w:type="gramEnd"/>
            <w:r w:rsidRPr="001024BB">
              <w:rPr>
                <w:rFonts w:ascii="Arial" w:eastAsia="Times New Roman" w:hAnsi="Arial" w:cs="Arial"/>
                <w:color w:val="000000"/>
                <w:sz w:val="20"/>
                <w:szCs w:val="20"/>
                <w:lang w:eastAsia="ru-RU"/>
              </w:rPr>
              <w:t>іаперевезень».</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2. Додаток 1 викласти в новій редакції (додається).</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3. Останнє речення п.4 приміток додатку 6 викласти </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такій редакції: </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«Зазначений коефіцієнт не слід застосовувати при реконструкції об’єктів меліоративного, водогосподарського будівництва та реконструкції автомобільних доріг».</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4. Додаток 12 викласти в новій редакції (додається)</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5. Додаток 13 викласти в новій редакції (додається)</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6. У п.4.в) додатку 8 та п.1 таблиць 1 та 2 додатку 14 вираз «атомні електростанції» замінити на вираз «ядерні установки та об’єкти, призначені для поводження з радіоактивними відходами».</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7. У п.1 таблиць 1 та 2 додатку 14 </w:t>
            </w:r>
            <w:proofErr w:type="gramStart"/>
            <w:r w:rsidRPr="001024BB">
              <w:rPr>
                <w:rFonts w:ascii="Arial" w:eastAsia="Times New Roman" w:hAnsi="Arial" w:cs="Arial"/>
                <w:color w:val="000000"/>
                <w:sz w:val="20"/>
                <w:szCs w:val="20"/>
                <w:lang w:eastAsia="ru-RU"/>
              </w:rPr>
              <w:t>п</w:t>
            </w:r>
            <w:proofErr w:type="gramEnd"/>
            <w:r w:rsidRPr="001024BB">
              <w:rPr>
                <w:rFonts w:ascii="Arial" w:eastAsia="Times New Roman" w:hAnsi="Arial" w:cs="Arial"/>
                <w:color w:val="000000"/>
                <w:sz w:val="20"/>
                <w:szCs w:val="20"/>
                <w:lang w:eastAsia="ru-RU"/>
              </w:rPr>
              <w:t>ісля дужок вираз «унікальні технічно складні» замінити на вираз «особливо складні технічно або архітектурно», далі за текстом.</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8. Таблицю 3 додатку 14 викласти в новій редакції (додається).</w:t>
            </w:r>
          </w:p>
          <w:p w:rsidR="001024BB" w:rsidRPr="001024BB" w:rsidRDefault="001024BB" w:rsidP="001024BB">
            <w:pPr>
              <w:spacing w:before="100" w:beforeAutospacing="1" w:after="57" w:line="240" w:lineRule="auto"/>
              <w:ind w:firstLine="45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 xml:space="preserve">9. У першому абзаці п.6.5 додатку 19 вираз «виробничих приміщень» вилучити. </w:t>
            </w:r>
          </w:p>
          <w:p w:rsidR="001024BB" w:rsidRDefault="001024BB" w:rsidP="001024BB">
            <w:pPr>
              <w:spacing w:after="0" w:line="240" w:lineRule="auto"/>
              <w:ind w:left="3969" w:firstLine="150"/>
              <w:jc w:val="both"/>
              <w:rPr>
                <w:rFonts w:ascii="Verdana" w:eastAsia="Times New Roman" w:hAnsi="Verdana" w:cs="Times New Roman"/>
                <w:color w:val="000000"/>
                <w:sz w:val="20"/>
                <w:szCs w:val="20"/>
                <w:lang w:eastAsia="ru-RU"/>
              </w:rPr>
            </w:pPr>
          </w:p>
          <w:p w:rsidR="001024BB" w:rsidRDefault="001024BB" w:rsidP="001024BB">
            <w:pPr>
              <w:spacing w:after="0" w:line="240" w:lineRule="auto"/>
              <w:ind w:left="3969" w:firstLine="150"/>
              <w:jc w:val="both"/>
              <w:rPr>
                <w:rFonts w:ascii="Verdana" w:eastAsia="Times New Roman" w:hAnsi="Verdana" w:cs="Times New Roman"/>
                <w:color w:val="000000"/>
                <w:sz w:val="20"/>
                <w:szCs w:val="20"/>
                <w:lang w:eastAsia="ru-RU"/>
              </w:rPr>
            </w:pPr>
          </w:p>
          <w:p w:rsidR="001024BB" w:rsidRDefault="001024BB" w:rsidP="001024BB">
            <w:pPr>
              <w:spacing w:after="0" w:line="240" w:lineRule="auto"/>
              <w:ind w:left="3969" w:firstLine="150"/>
              <w:jc w:val="both"/>
              <w:rPr>
                <w:rFonts w:ascii="Verdana" w:eastAsia="Times New Roman" w:hAnsi="Verdana" w:cs="Times New Roman"/>
                <w:color w:val="000000"/>
                <w:sz w:val="20"/>
                <w:szCs w:val="20"/>
                <w:lang w:eastAsia="ru-RU"/>
              </w:rPr>
            </w:pPr>
          </w:p>
          <w:p w:rsidR="001024BB" w:rsidRDefault="001024BB" w:rsidP="001024BB">
            <w:pPr>
              <w:spacing w:after="0" w:line="240" w:lineRule="auto"/>
              <w:ind w:left="3969" w:firstLine="150"/>
              <w:jc w:val="both"/>
              <w:rPr>
                <w:rFonts w:ascii="Verdana" w:eastAsia="Times New Roman" w:hAnsi="Verdana" w:cs="Times New Roman"/>
                <w:color w:val="000000"/>
                <w:sz w:val="20"/>
                <w:szCs w:val="20"/>
                <w:lang w:eastAsia="ru-RU"/>
              </w:rPr>
            </w:pPr>
          </w:p>
          <w:p w:rsidR="001024BB" w:rsidRDefault="001024BB" w:rsidP="001024BB">
            <w:pPr>
              <w:spacing w:after="0" w:line="240" w:lineRule="auto"/>
              <w:ind w:left="3969" w:firstLine="150"/>
              <w:jc w:val="both"/>
              <w:rPr>
                <w:rFonts w:ascii="Verdana" w:eastAsia="Times New Roman" w:hAnsi="Verdana" w:cs="Times New Roman"/>
                <w:color w:val="000000"/>
                <w:sz w:val="20"/>
                <w:szCs w:val="20"/>
                <w:lang w:eastAsia="ru-RU"/>
              </w:rPr>
            </w:pPr>
          </w:p>
          <w:p w:rsidR="001024BB" w:rsidRPr="001024BB" w:rsidRDefault="001024BB" w:rsidP="001024BB">
            <w:pPr>
              <w:spacing w:after="0" w:line="240" w:lineRule="auto"/>
              <w:ind w:left="3969"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20"/>
                <w:szCs w:val="20"/>
                <w:lang w:eastAsia="ru-RU"/>
              </w:rPr>
              <w:lastRenderedPageBreak/>
              <w:t>Додаток 1</w:t>
            </w:r>
          </w:p>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Довідковий</w:t>
            </w:r>
          </w:p>
          <w:p w:rsidR="001024BB" w:rsidRPr="001024BB" w:rsidRDefault="001024BB" w:rsidP="001024BB">
            <w:pPr>
              <w:spacing w:before="120" w:after="12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20"/>
                <w:szCs w:val="20"/>
                <w:lang w:eastAsia="ru-RU"/>
              </w:rPr>
              <w:t xml:space="preserve">Усереднена вартість людино-години </w:t>
            </w:r>
            <w:r w:rsidRPr="001024BB">
              <w:rPr>
                <w:rFonts w:ascii="Verdana" w:eastAsia="Times New Roman" w:hAnsi="Verdana" w:cs="Times New Roman"/>
                <w:color w:val="000000"/>
                <w:sz w:val="20"/>
                <w:szCs w:val="20"/>
                <w:lang w:eastAsia="ru-RU"/>
              </w:rPr>
              <w:br/>
              <w:t>за розрядами робіт у будівництві*</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4"/>
              <w:gridCol w:w="907"/>
              <w:gridCol w:w="1304"/>
              <w:gridCol w:w="907"/>
              <w:gridCol w:w="1304"/>
              <w:gridCol w:w="907"/>
            </w:tblGrid>
            <w:tr w:rsidR="001024BB" w:rsidRPr="001024BB">
              <w:trPr>
                <w:jc w:val="center"/>
              </w:trPr>
              <w:tc>
                <w:tcPr>
                  <w:tcW w:w="1304" w:type="dxa"/>
                  <w:tcBorders>
                    <w:top w:val="double" w:sz="4" w:space="0" w:color="auto"/>
                    <w:left w:val="double" w:sz="4" w:space="0" w:color="auto"/>
                    <w:bottom w:val="nil"/>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7"/>
                      <w:szCs w:val="17"/>
                      <w:lang w:eastAsia="ru-RU"/>
                    </w:rPr>
                    <w:t>Розряд робіт,</w:t>
                  </w:r>
                  <w:r w:rsidRPr="001024BB">
                    <w:rPr>
                      <w:rFonts w:ascii="Arial" w:eastAsia="Times New Roman" w:hAnsi="Arial" w:cs="Arial"/>
                      <w:color w:val="000000"/>
                      <w:sz w:val="17"/>
                      <w:szCs w:val="17"/>
                      <w:lang w:eastAsia="ru-RU"/>
                    </w:rPr>
                    <w:t xml:space="preserve"> </w:t>
                  </w:r>
                  <w:r w:rsidRPr="001024BB">
                    <w:rPr>
                      <w:rFonts w:ascii="Arial" w:eastAsia="Times New Roman" w:hAnsi="Arial" w:cs="Arial"/>
                      <w:color w:val="000000"/>
                      <w:sz w:val="17"/>
                      <w:szCs w:val="17"/>
                      <w:lang w:eastAsia="ru-RU"/>
                    </w:rPr>
                    <w:br/>
                    <w:t>що вик</w:t>
                  </w:r>
                  <w:proofErr w:type="gramStart"/>
                  <w:r w:rsidRPr="001024BB">
                    <w:rPr>
                      <w:rFonts w:ascii="Arial" w:eastAsia="Times New Roman" w:hAnsi="Arial" w:cs="Arial"/>
                      <w:color w:val="000000"/>
                      <w:sz w:val="17"/>
                      <w:szCs w:val="17"/>
                      <w:lang w:eastAsia="ru-RU"/>
                    </w:rPr>
                    <w:t>о-</w:t>
                  </w:r>
                  <w:proofErr w:type="gramEnd"/>
                  <w:r w:rsidRPr="001024BB">
                    <w:rPr>
                      <w:rFonts w:ascii="Arial" w:eastAsia="Times New Roman" w:hAnsi="Arial" w:cs="Arial"/>
                      <w:color w:val="000000"/>
                      <w:sz w:val="17"/>
                      <w:szCs w:val="17"/>
                      <w:lang w:eastAsia="ru-RU"/>
                    </w:rPr>
                    <w:br/>
                    <w:t>нуються</w:t>
                  </w:r>
                </w:p>
              </w:tc>
              <w:tc>
                <w:tcPr>
                  <w:tcW w:w="907" w:type="dxa"/>
                  <w:tcBorders>
                    <w:top w:val="double" w:sz="4" w:space="0" w:color="auto"/>
                    <w:left w:val="nil"/>
                    <w:bottom w:val="nil"/>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 xml:space="preserve">Вартість </w:t>
                  </w:r>
                  <w:r w:rsidRPr="001024BB">
                    <w:rPr>
                      <w:rFonts w:ascii="Arial" w:eastAsia="Times New Roman" w:hAnsi="Arial" w:cs="Arial"/>
                      <w:color w:val="000000"/>
                      <w:spacing w:val="-8"/>
                      <w:sz w:val="17"/>
                      <w:szCs w:val="17"/>
                      <w:lang w:eastAsia="ru-RU"/>
                    </w:rPr>
                    <w:t>люд./год</w:t>
                  </w:r>
                  <w:proofErr w:type="gramStart"/>
                  <w:r w:rsidRPr="001024BB">
                    <w:rPr>
                      <w:rFonts w:ascii="Arial" w:eastAsia="Times New Roman" w:hAnsi="Arial" w:cs="Arial"/>
                      <w:color w:val="000000"/>
                      <w:spacing w:val="-8"/>
                      <w:sz w:val="17"/>
                      <w:szCs w:val="17"/>
                      <w:lang w:eastAsia="ru-RU"/>
                    </w:rPr>
                    <w:t>.,</w:t>
                  </w:r>
                  <w:r w:rsidRPr="001024BB">
                    <w:rPr>
                      <w:rFonts w:ascii="Arial" w:eastAsia="Times New Roman" w:hAnsi="Arial" w:cs="Arial"/>
                      <w:color w:val="000000"/>
                      <w:sz w:val="17"/>
                      <w:szCs w:val="17"/>
                      <w:lang w:eastAsia="ru-RU"/>
                    </w:rPr>
                    <w:t xml:space="preserve"> </w:t>
                  </w:r>
                  <w:proofErr w:type="gramEnd"/>
                  <w:r w:rsidRPr="001024BB">
                    <w:rPr>
                      <w:rFonts w:ascii="Arial" w:eastAsia="Times New Roman" w:hAnsi="Arial" w:cs="Arial"/>
                      <w:color w:val="000000"/>
                      <w:sz w:val="17"/>
                      <w:szCs w:val="17"/>
                      <w:lang w:eastAsia="ru-RU"/>
                    </w:rPr>
                    <w:t>грн.</w:t>
                  </w:r>
                </w:p>
              </w:tc>
              <w:tc>
                <w:tcPr>
                  <w:tcW w:w="1304" w:type="dxa"/>
                  <w:tcBorders>
                    <w:top w:val="double" w:sz="4" w:space="0" w:color="auto"/>
                    <w:left w:val="nil"/>
                    <w:bottom w:val="nil"/>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7"/>
                      <w:szCs w:val="17"/>
                      <w:lang w:eastAsia="ru-RU"/>
                    </w:rPr>
                    <w:t>Розряд робіт,</w:t>
                  </w:r>
                  <w:r w:rsidRPr="001024BB">
                    <w:rPr>
                      <w:rFonts w:ascii="Arial" w:eastAsia="Times New Roman" w:hAnsi="Arial" w:cs="Arial"/>
                      <w:color w:val="000000"/>
                      <w:sz w:val="17"/>
                      <w:szCs w:val="17"/>
                      <w:lang w:eastAsia="ru-RU"/>
                    </w:rPr>
                    <w:t xml:space="preserve"> </w:t>
                  </w:r>
                  <w:r w:rsidRPr="001024BB">
                    <w:rPr>
                      <w:rFonts w:ascii="Arial" w:eastAsia="Times New Roman" w:hAnsi="Arial" w:cs="Arial"/>
                      <w:color w:val="000000"/>
                      <w:sz w:val="17"/>
                      <w:szCs w:val="17"/>
                      <w:lang w:eastAsia="ru-RU"/>
                    </w:rPr>
                    <w:br/>
                    <w:t>що вик</w:t>
                  </w:r>
                  <w:proofErr w:type="gramStart"/>
                  <w:r w:rsidRPr="001024BB">
                    <w:rPr>
                      <w:rFonts w:ascii="Arial" w:eastAsia="Times New Roman" w:hAnsi="Arial" w:cs="Arial"/>
                      <w:color w:val="000000"/>
                      <w:sz w:val="17"/>
                      <w:szCs w:val="17"/>
                      <w:lang w:eastAsia="ru-RU"/>
                    </w:rPr>
                    <w:t>о-</w:t>
                  </w:r>
                  <w:proofErr w:type="gramEnd"/>
                  <w:r w:rsidRPr="001024BB">
                    <w:rPr>
                      <w:rFonts w:ascii="Arial" w:eastAsia="Times New Roman" w:hAnsi="Arial" w:cs="Arial"/>
                      <w:color w:val="000000"/>
                      <w:sz w:val="17"/>
                      <w:szCs w:val="17"/>
                      <w:lang w:eastAsia="ru-RU"/>
                    </w:rPr>
                    <w:br/>
                    <w:t>нуються</w:t>
                  </w:r>
                </w:p>
              </w:tc>
              <w:tc>
                <w:tcPr>
                  <w:tcW w:w="907" w:type="dxa"/>
                  <w:tcBorders>
                    <w:top w:val="double" w:sz="4" w:space="0" w:color="auto"/>
                    <w:left w:val="nil"/>
                    <w:bottom w:val="nil"/>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 xml:space="preserve">Вартість </w:t>
                  </w:r>
                  <w:r w:rsidRPr="001024BB">
                    <w:rPr>
                      <w:rFonts w:ascii="Arial" w:eastAsia="Times New Roman" w:hAnsi="Arial" w:cs="Arial"/>
                      <w:color w:val="000000"/>
                      <w:spacing w:val="-8"/>
                      <w:sz w:val="17"/>
                      <w:szCs w:val="17"/>
                      <w:lang w:eastAsia="ru-RU"/>
                    </w:rPr>
                    <w:t>люд./год</w:t>
                  </w:r>
                  <w:proofErr w:type="gramStart"/>
                  <w:r w:rsidRPr="001024BB">
                    <w:rPr>
                      <w:rFonts w:ascii="Arial" w:eastAsia="Times New Roman" w:hAnsi="Arial" w:cs="Arial"/>
                      <w:color w:val="000000"/>
                      <w:spacing w:val="-8"/>
                      <w:sz w:val="17"/>
                      <w:szCs w:val="17"/>
                      <w:lang w:eastAsia="ru-RU"/>
                    </w:rPr>
                    <w:t>.,</w:t>
                  </w:r>
                  <w:r w:rsidRPr="001024BB">
                    <w:rPr>
                      <w:rFonts w:ascii="Arial" w:eastAsia="Times New Roman" w:hAnsi="Arial" w:cs="Arial"/>
                      <w:color w:val="000000"/>
                      <w:sz w:val="17"/>
                      <w:szCs w:val="17"/>
                      <w:lang w:eastAsia="ru-RU"/>
                    </w:rPr>
                    <w:t xml:space="preserve"> </w:t>
                  </w:r>
                  <w:proofErr w:type="gramEnd"/>
                  <w:r w:rsidRPr="001024BB">
                    <w:rPr>
                      <w:rFonts w:ascii="Arial" w:eastAsia="Times New Roman" w:hAnsi="Arial" w:cs="Arial"/>
                      <w:color w:val="000000"/>
                      <w:sz w:val="17"/>
                      <w:szCs w:val="17"/>
                      <w:lang w:eastAsia="ru-RU"/>
                    </w:rPr>
                    <w:t>грн.</w:t>
                  </w:r>
                </w:p>
              </w:tc>
              <w:tc>
                <w:tcPr>
                  <w:tcW w:w="1304" w:type="dxa"/>
                  <w:tcBorders>
                    <w:top w:val="double" w:sz="4" w:space="0" w:color="auto"/>
                    <w:left w:val="nil"/>
                    <w:bottom w:val="nil"/>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7"/>
                      <w:szCs w:val="17"/>
                      <w:lang w:eastAsia="ru-RU"/>
                    </w:rPr>
                    <w:t>Розряд робіт,</w:t>
                  </w:r>
                  <w:r w:rsidRPr="001024BB">
                    <w:rPr>
                      <w:rFonts w:ascii="Arial" w:eastAsia="Times New Roman" w:hAnsi="Arial" w:cs="Arial"/>
                      <w:color w:val="000000"/>
                      <w:sz w:val="17"/>
                      <w:szCs w:val="17"/>
                      <w:lang w:eastAsia="ru-RU"/>
                    </w:rPr>
                    <w:t xml:space="preserve"> </w:t>
                  </w:r>
                  <w:r w:rsidRPr="001024BB">
                    <w:rPr>
                      <w:rFonts w:ascii="Arial" w:eastAsia="Times New Roman" w:hAnsi="Arial" w:cs="Arial"/>
                      <w:color w:val="000000"/>
                      <w:sz w:val="17"/>
                      <w:szCs w:val="17"/>
                      <w:lang w:eastAsia="ru-RU"/>
                    </w:rPr>
                    <w:br/>
                    <w:t>що вик</w:t>
                  </w:r>
                  <w:proofErr w:type="gramStart"/>
                  <w:r w:rsidRPr="001024BB">
                    <w:rPr>
                      <w:rFonts w:ascii="Arial" w:eastAsia="Times New Roman" w:hAnsi="Arial" w:cs="Arial"/>
                      <w:color w:val="000000"/>
                      <w:sz w:val="17"/>
                      <w:szCs w:val="17"/>
                      <w:lang w:eastAsia="ru-RU"/>
                    </w:rPr>
                    <w:t>о-</w:t>
                  </w:r>
                  <w:proofErr w:type="gramEnd"/>
                  <w:r w:rsidRPr="001024BB">
                    <w:rPr>
                      <w:rFonts w:ascii="Arial" w:eastAsia="Times New Roman" w:hAnsi="Arial" w:cs="Arial"/>
                      <w:color w:val="000000"/>
                      <w:sz w:val="17"/>
                      <w:szCs w:val="17"/>
                      <w:lang w:eastAsia="ru-RU"/>
                    </w:rPr>
                    <w:br/>
                    <w:t>нуються</w:t>
                  </w:r>
                </w:p>
              </w:tc>
              <w:tc>
                <w:tcPr>
                  <w:tcW w:w="907" w:type="dxa"/>
                  <w:tcBorders>
                    <w:top w:val="double" w:sz="4" w:space="0" w:color="auto"/>
                    <w:left w:val="nil"/>
                    <w:bottom w:val="nil"/>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 xml:space="preserve">Вартість </w:t>
                  </w:r>
                  <w:r w:rsidRPr="001024BB">
                    <w:rPr>
                      <w:rFonts w:ascii="Arial" w:eastAsia="Times New Roman" w:hAnsi="Arial" w:cs="Arial"/>
                      <w:color w:val="000000"/>
                      <w:spacing w:val="-8"/>
                      <w:sz w:val="17"/>
                      <w:szCs w:val="17"/>
                      <w:lang w:eastAsia="ru-RU"/>
                    </w:rPr>
                    <w:t>люд./год</w:t>
                  </w:r>
                  <w:proofErr w:type="gramStart"/>
                  <w:r w:rsidRPr="001024BB">
                    <w:rPr>
                      <w:rFonts w:ascii="Arial" w:eastAsia="Times New Roman" w:hAnsi="Arial" w:cs="Arial"/>
                      <w:color w:val="000000"/>
                      <w:spacing w:val="-8"/>
                      <w:sz w:val="17"/>
                      <w:szCs w:val="17"/>
                      <w:lang w:eastAsia="ru-RU"/>
                    </w:rPr>
                    <w:t>.,</w:t>
                  </w:r>
                  <w:r w:rsidRPr="001024BB">
                    <w:rPr>
                      <w:rFonts w:ascii="Arial" w:eastAsia="Times New Roman" w:hAnsi="Arial" w:cs="Arial"/>
                      <w:color w:val="000000"/>
                      <w:sz w:val="17"/>
                      <w:szCs w:val="17"/>
                      <w:lang w:eastAsia="ru-RU"/>
                    </w:rPr>
                    <w:t xml:space="preserve"> </w:t>
                  </w:r>
                  <w:proofErr w:type="gramEnd"/>
                  <w:r w:rsidRPr="001024BB">
                    <w:rPr>
                      <w:rFonts w:ascii="Arial" w:eastAsia="Times New Roman" w:hAnsi="Arial" w:cs="Arial"/>
                      <w:color w:val="000000"/>
                      <w:sz w:val="17"/>
                      <w:szCs w:val="17"/>
                      <w:lang w:eastAsia="ru-RU"/>
                    </w:rPr>
                    <w:t>грн.</w:t>
                  </w:r>
                </w:p>
              </w:tc>
            </w:tr>
            <w:tr w:rsidR="001024BB" w:rsidRPr="001024BB">
              <w:trPr>
                <w:jc w:val="center"/>
              </w:trPr>
              <w:tc>
                <w:tcPr>
                  <w:tcW w:w="1304" w:type="dxa"/>
                  <w:tcBorders>
                    <w:top w:val="double" w:sz="4" w:space="0" w:color="auto"/>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1,0</w:t>
                  </w:r>
                </w:p>
              </w:tc>
              <w:tc>
                <w:tcPr>
                  <w:tcW w:w="907" w:type="dxa"/>
                  <w:tcBorders>
                    <w:top w:val="double" w:sz="4" w:space="0" w:color="auto"/>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10,53</w:t>
                  </w:r>
                </w:p>
              </w:tc>
              <w:tc>
                <w:tcPr>
                  <w:tcW w:w="1304" w:type="dxa"/>
                  <w:tcBorders>
                    <w:top w:val="double" w:sz="4" w:space="0" w:color="auto"/>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3,4</w:t>
                  </w:r>
                </w:p>
              </w:tc>
              <w:tc>
                <w:tcPr>
                  <w:tcW w:w="907" w:type="dxa"/>
                  <w:tcBorders>
                    <w:top w:val="double" w:sz="4" w:space="0" w:color="auto"/>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13,13</w:t>
                  </w:r>
                </w:p>
              </w:tc>
              <w:tc>
                <w:tcPr>
                  <w:tcW w:w="1304" w:type="dxa"/>
                  <w:tcBorders>
                    <w:top w:val="double" w:sz="4" w:space="0" w:color="auto"/>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5,8</w:t>
                  </w:r>
                </w:p>
              </w:tc>
              <w:tc>
                <w:tcPr>
                  <w:tcW w:w="907" w:type="dxa"/>
                  <w:tcBorders>
                    <w:top w:val="double" w:sz="4" w:space="0" w:color="auto"/>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18,39</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1,1</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10,61</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3,5</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13,30</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5,9</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18,66</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1,2</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10,70</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3,6</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13,46</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6,0</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18,92</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1,3</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10,78</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3,7</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13,62</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6,1</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19,22</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1,4</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10,87</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3,8</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13,77</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6,2</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19,51</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1,5</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10,95</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3,9</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13,94</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6,3</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19,80</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1,6</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11,04</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4,0</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14,10</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6,4</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20,09</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1,7</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11,12</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4,1</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14,31</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6,5</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20,39</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1,8</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11,20</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4,2</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14,53</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6,6</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20,68</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1,9</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11,29</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4,3</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14,74</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6,7</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20,98</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2,0</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11,37</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4,4</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14,95</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6,8</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21,26</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2,1</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11,49</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4,5</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15,17</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6,9</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21,55</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2,2</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11,59</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4,6</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15,38</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7,0</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21,85</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2,3</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11,71</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4,7</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15,59</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7,1</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22,19</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2,4</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11,81</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4,8</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15,81</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7,2</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22,52</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2,5</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11,93</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4,9</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16,03</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7,3</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22,86</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2,6</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12,05</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5,0</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16,24</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7,4</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23,20</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2,7</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12,15</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5,1</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16,51</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7,5</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23,53</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2,8</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12,27</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5,2</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16,77</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7,6</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23,86</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2,9</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12,37</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5,3</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17,05</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7,7</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24,20</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3,0</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12,49</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5,4</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17,31</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7,8</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24,53</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3,1</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12,65</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5,5</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17,59</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7,9</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24,87</w:t>
                  </w:r>
                </w:p>
              </w:tc>
            </w:tr>
            <w:tr w:rsidR="001024BB" w:rsidRPr="001024BB">
              <w:trPr>
                <w:jc w:val="center"/>
              </w:trPr>
              <w:tc>
                <w:tcPr>
                  <w:tcW w:w="1304" w:type="dxa"/>
                  <w:tcBorders>
                    <w:top w:val="nil"/>
                    <w:left w:val="double" w:sz="4" w:space="0" w:color="auto"/>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3,2</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12,82</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5,6</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17,85</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8,0</w:t>
                  </w:r>
                </w:p>
              </w:tc>
              <w:tc>
                <w:tcPr>
                  <w:tcW w:w="907" w:type="dxa"/>
                  <w:tcBorders>
                    <w:top w:val="nil"/>
                    <w:left w:val="nil"/>
                    <w:bottom w:val="dotted" w:sz="8"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25,21</w:t>
                  </w:r>
                </w:p>
              </w:tc>
            </w:tr>
            <w:tr w:rsidR="001024BB" w:rsidRPr="001024BB">
              <w:trPr>
                <w:jc w:val="center"/>
              </w:trPr>
              <w:tc>
                <w:tcPr>
                  <w:tcW w:w="1304" w:type="dxa"/>
                  <w:tcBorders>
                    <w:top w:val="nil"/>
                    <w:left w:val="double" w:sz="4" w:space="0" w:color="auto"/>
                    <w:bottom w:val="double" w:sz="4"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3,3</w:t>
                  </w:r>
                </w:p>
              </w:tc>
              <w:tc>
                <w:tcPr>
                  <w:tcW w:w="907" w:type="dxa"/>
                  <w:tcBorders>
                    <w:top w:val="nil"/>
                    <w:left w:val="nil"/>
                    <w:bottom w:val="double" w:sz="4"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12,97</w:t>
                  </w:r>
                </w:p>
              </w:tc>
              <w:tc>
                <w:tcPr>
                  <w:tcW w:w="1304" w:type="dxa"/>
                  <w:tcBorders>
                    <w:top w:val="nil"/>
                    <w:left w:val="nil"/>
                    <w:bottom w:val="double" w:sz="4"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5,7</w:t>
                  </w:r>
                </w:p>
              </w:tc>
              <w:tc>
                <w:tcPr>
                  <w:tcW w:w="907" w:type="dxa"/>
                  <w:tcBorders>
                    <w:top w:val="nil"/>
                    <w:left w:val="nil"/>
                    <w:bottom w:val="double" w:sz="4"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18,12</w:t>
                  </w:r>
                </w:p>
              </w:tc>
              <w:tc>
                <w:tcPr>
                  <w:tcW w:w="1304" w:type="dxa"/>
                  <w:tcBorders>
                    <w:top w:val="nil"/>
                    <w:left w:val="nil"/>
                    <w:bottom w:val="double" w:sz="4"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after="0" w:line="240" w:lineRule="auto"/>
                    <w:rPr>
                      <w:rFonts w:ascii="Verdana" w:eastAsia="Times New Roman" w:hAnsi="Verdana" w:cs="Times New Roman"/>
                      <w:color w:val="000000"/>
                      <w:sz w:val="17"/>
                      <w:szCs w:val="17"/>
                      <w:lang w:eastAsia="ru-RU"/>
                    </w:rPr>
                  </w:pPr>
                </w:p>
              </w:tc>
              <w:tc>
                <w:tcPr>
                  <w:tcW w:w="907" w:type="dxa"/>
                  <w:tcBorders>
                    <w:top w:val="nil"/>
                    <w:left w:val="nil"/>
                    <w:bottom w:val="double" w:sz="4" w:space="0" w:color="auto"/>
                    <w:right w:val="double" w:sz="4" w:space="0" w:color="auto"/>
                  </w:tcBorders>
                  <w:tcMar>
                    <w:top w:w="0" w:type="dxa"/>
                    <w:left w:w="28" w:type="dxa"/>
                    <w:bottom w:w="0" w:type="dxa"/>
                    <w:right w:w="28" w:type="dxa"/>
                  </w:tcMar>
                  <w:vAlign w:val="center"/>
                  <w:hideMark/>
                </w:tcPr>
                <w:p w:rsidR="001024BB" w:rsidRPr="001024BB" w:rsidRDefault="001024BB" w:rsidP="001024BB">
                  <w:pPr>
                    <w:spacing w:after="0" w:line="240" w:lineRule="auto"/>
                    <w:rPr>
                      <w:rFonts w:ascii="Verdana" w:eastAsia="Times New Roman" w:hAnsi="Verdana" w:cs="Times New Roman"/>
                      <w:color w:val="000000"/>
                      <w:sz w:val="17"/>
                      <w:szCs w:val="17"/>
                      <w:lang w:eastAsia="ru-RU"/>
                    </w:rPr>
                  </w:pPr>
                </w:p>
              </w:tc>
            </w:tr>
          </w:tbl>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 xml:space="preserve">* Вартісні показники, </w:t>
            </w:r>
            <w:proofErr w:type="gramStart"/>
            <w:r w:rsidRPr="001024BB">
              <w:rPr>
                <w:rFonts w:ascii="Verdana" w:eastAsia="Times New Roman" w:hAnsi="Verdana" w:cs="Times New Roman"/>
                <w:color w:val="000000"/>
                <w:sz w:val="17"/>
                <w:szCs w:val="17"/>
                <w:lang w:eastAsia="ru-RU"/>
              </w:rPr>
              <w:t>наведен</w:t>
            </w:r>
            <w:proofErr w:type="gramEnd"/>
            <w:r w:rsidRPr="001024BB">
              <w:rPr>
                <w:rFonts w:ascii="Verdana" w:eastAsia="Times New Roman" w:hAnsi="Verdana" w:cs="Times New Roman"/>
                <w:color w:val="000000"/>
                <w:sz w:val="17"/>
                <w:szCs w:val="17"/>
                <w:lang w:eastAsia="ru-RU"/>
              </w:rPr>
              <w:t>і в додатку, обчислені виходячи з середньомісячної заробітної плати 2300 грн., що відповідає середньому розряду складності робіт у будівництві в цілому – 3,8.</w:t>
            </w:r>
          </w:p>
          <w:p w:rsidR="001024BB" w:rsidRPr="001024BB" w:rsidRDefault="001024BB" w:rsidP="001024BB">
            <w:pPr>
              <w:spacing w:before="40"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i/>
                <w:iCs/>
                <w:color w:val="000000"/>
                <w:sz w:val="18"/>
                <w:szCs w:val="18"/>
                <w:lang w:eastAsia="ru-RU"/>
              </w:rPr>
              <w:t xml:space="preserve">Примітки: </w:t>
            </w:r>
          </w:p>
          <w:p w:rsidR="001024BB" w:rsidRPr="001024BB" w:rsidRDefault="001024BB" w:rsidP="001024BB">
            <w:pPr>
              <w:spacing w:before="40" w:after="40" w:line="240" w:lineRule="auto"/>
              <w:ind w:left="57" w:right="57" w:firstLine="284"/>
              <w:jc w:val="both"/>
              <w:rPr>
                <w:rFonts w:ascii="Verdana" w:eastAsia="Times New Roman" w:hAnsi="Verdana" w:cs="Times New Roman"/>
                <w:color w:val="000000"/>
                <w:sz w:val="17"/>
                <w:szCs w:val="17"/>
                <w:lang w:eastAsia="ru-RU"/>
              </w:rPr>
            </w:pPr>
            <w:r w:rsidRPr="001024BB">
              <w:rPr>
                <w:rFonts w:ascii="Arial" w:eastAsia="Times New Roman" w:hAnsi="Arial" w:cs="Arial"/>
                <w:color w:val="000000"/>
                <w:sz w:val="18"/>
                <w:szCs w:val="18"/>
                <w:lang w:eastAsia="ru-RU"/>
              </w:rPr>
              <w:t xml:space="preserve">1. Наведена вартість людино-години враховує звичайні умови праці при </w:t>
            </w:r>
            <w:r w:rsidRPr="001024BB">
              <w:rPr>
                <w:rFonts w:ascii="Arial" w:eastAsia="Times New Roman" w:hAnsi="Arial" w:cs="Arial"/>
                <w:color w:val="000000"/>
                <w:sz w:val="18"/>
                <w:szCs w:val="18"/>
                <w:lang w:eastAsia="ru-RU"/>
              </w:rPr>
              <w:br/>
              <w:t>40-годинному робочому тижні.</w:t>
            </w:r>
          </w:p>
          <w:p w:rsidR="001024BB" w:rsidRPr="001024BB" w:rsidRDefault="001024BB" w:rsidP="001024BB">
            <w:pPr>
              <w:spacing w:after="40" w:line="240" w:lineRule="auto"/>
              <w:ind w:left="57" w:right="57"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При іншій тривалості робочого тижня вартість людино-години визначається із застосуванням наступних коефіцієнтів:</w:t>
            </w:r>
          </w:p>
          <w:p w:rsidR="001024BB" w:rsidRPr="001024BB" w:rsidRDefault="001024BB" w:rsidP="001024BB">
            <w:pPr>
              <w:spacing w:before="40"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39-годинний робочий тиждень – 1,0236;</w:t>
            </w:r>
          </w:p>
          <w:p w:rsidR="001024BB" w:rsidRPr="001024BB" w:rsidRDefault="001024BB" w:rsidP="001024BB">
            <w:pPr>
              <w:spacing w:before="40"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38,5-годинний робочий тиждень – 1,0369;</w:t>
            </w:r>
          </w:p>
          <w:p w:rsidR="001024BB" w:rsidRPr="001024BB" w:rsidRDefault="001024BB" w:rsidP="001024BB">
            <w:pPr>
              <w:spacing w:before="40"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36-годинний робочий тиждень – 1,1089;</w:t>
            </w:r>
          </w:p>
          <w:p w:rsidR="001024BB" w:rsidRPr="001024BB" w:rsidRDefault="001024BB" w:rsidP="001024BB">
            <w:pPr>
              <w:spacing w:before="40"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33-годинний робочий тиждень – 1,2097;</w:t>
            </w:r>
          </w:p>
          <w:p w:rsidR="001024BB" w:rsidRPr="001024BB" w:rsidRDefault="001024BB" w:rsidP="001024BB">
            <w:pPr>
              <w:spacing w:before="40"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30-годинний робочий тиждень – 1,3307;</w:t>
            </w:r>
          </w:p>
          <w:p w:rsidR="001024BB" w:rsidRPr="001024BB" w:rsidRDefault="001024BB" w:rsidP="001024BB">
            <w:pPr>
              <w:spacing w:before="40"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25-годинний робочий тиждень – 1,5968;</w:t>
            </w:r>
          </w:p>
          <w:p w:rsidR="001024BB" w:rsidRPr="001024BB" w:rsidRDefault="001024BB" w:rsidP="001024BB">
            <w:pPr>
              <w:spacing w:before="40"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24-годинний робочий тиждень – 1,6633;</w:t>
            </w:r>
          </w:p>
          <w:p w:rsidR="001024BB" w:rsidRPr="001024BB" w:rsidRDefault="001024BB" w:rsidP="001024BB">
            <w:pPr>
              <w:spacing w:before="40"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20-годинний робочий тиждень – 1,9960;</w:t>
            </w:r>
          </w:p>
          <w:p w:rsidR="001024BB" w:rsidRPr="001024BB" w:rsidRDefault="001024BB" w:rsidP="001024BB">
            <w:pPr>
              <w:spacing w:before="40"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18-годинний робочий тиждень – 2,2178.</w:t>
            </w:r>
          </w:p>
          <w:p w:rsidR="001024BB" w:rsidRPr="001024BB" w:rsidRDefault="001024BB" w:rsidP="001024BB">
            <w:pPr>
              <w:spacing w:before="60" w:after="40" w:line="240" w:lineRule="auto"/>
              <w:ind w:left="57" w:right="57"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2. Задля розрахунку заробітної плати на будівництві тунелі</w:t>
            </w:r>
            <w:proofErr w:type="gramStart"/>
            <w:r w:rsidRPr="001024BB">
              <w:rPr>
                <w:rFonts w:ascii="Verdana" w:eastAsia="Times New Roman" w:hAnsi="Verdana" w:cs="Times New Roman"/>
                <w:color w:val="000000"/>
                <w:sz w:val="17"/>
                <w:szCs w:val="17"/>
                <w:lang w:eastAsia="ru-RU"/>
              </w:rPr>
              <w:t>в</w:t>
            </w:r>
            <w:proofErr w:type="gramEnd"/>
            <w:r w:rsidRPr="001024BB">
              <w:rPr>
                <w:rFonts w:ascii="Verdana" w:eastAsia="Times New Roman" w:hAnsi="Verdana" w:cs="Times New Roman"/>
                <w:color w:val="000000"/>
                <w:sz w:val="17"/>
                <w:szCs w:val="17"/>
                <w:lang w:eastAsia="ru-RU"/>
              </w:rPr>
              <w:t xml:space="preserve"> та метрополітенів до вартості людино-години відповідного розряду, наведеної у цьому додатку, застосовуються коефіцієнти:</w:t>
            </w:r>
          </w:p>
          <w:p w:rsidR="001024BB" w:rsidRPr="001024BB" w:rsidRDefault="001024BB" w:rsidP="001024BB">
            <w:pPr>
              <w:spacing w:before="40" w:after="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 xml:space="preserve">а) </w:t>
            </w:r>
            <w:r w:rsidRPr="001024BB">
              <w:rPr>
                <w:rFonts w:ascii="Arial" w:eastAsia="Times New Roman" w:hAnsi="Arial" w:cs="Arial"/>
                <w:color w:val="000000"/>
                <w:spacing w:val="-2"/>
                <w:sz w:val="18"/>
                <w:szCs w:val="18"/>
                <w:lang w:eastAsia="ru-RU"/>
              </w:rPr>
              <w:t>при закритому способі робіт, включаючи улаштування колії</w:t>
            </w:r>
            <w:r w:rsidRPr="001024BB">
              <w:rPr>
                <w:rFonts w:ascii="Arial" w:eastAsia="Times New Roman" w:hAnsi="Arial" w:cs="Arial"/>
                <w:color w:val="000000"/>
                <w:sz w:val="18"/>
                <w:szCs w:val="18"/>
                <w:lang w:eastAsia="ru-RU"/>
              </w:rPr>
              <w:t xml:space="preserve"> </w:t>
            </w:r>
          </w:p>
          <w:p w:rsidR="001024BB" w:rsidRPr="001024BB" w:rsidRDefault="001024BB" w:rsidP="001024BB">
            <w:pPr>
              <w:spacing w:after="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8"/>
                <w:szCs w:val="18"/>
                <w:lang w:eastAsia="ru-RU"/>
              </w:rPr>
              <w:t xml:space="preserve">в тунелях, а також всі роботи </w:t>
            </w:r>
            <w:proofErr w:type="gramStart"/>
            <w:r w:rsidRPr="001024BB">
              <w:rPr>
                <w:rFonts w:ascii="Arial" w:eastAsia="Times New Roman" w:hAnsi="Arial" w:cs="Arial"/>
                <w:color w:val="000000"/>
                <w:spacing w:val="-4"/>
                <w:sz w:val="18"/>
                <w:szCs w:val="18"/>
                <w:lang w:eastAsia="ru-RU"/>
              </w:rPr>
              <w:t>п</w:t>
            </w:r>
            <w:proofErr w:type="gramEnd"/>
            <w:r w:rsidRPr="001024BB">
              <w:rPr>
                <w:rFonts w:ascii="Arial" w:eastAsia="Times New Roman" w:hAnsi="Arial" w:cs="Arial"/>
                <w:color w:val="000000"/>
                <w:spacing w:val="-4"/>
                <w:sz w:val="18"/>
                <w:szCs w:val="18"/>
                <w:lang w:eastAsia="ru-RU"/>
              </w:rPr>
              <w:t>ісля влаштування перекриття</w:t>
            </w:r>
          </w:p>
          <w:p w:rsidR="001024BB" w:rsidRPr="001024BB" w:rsidRDefault="001024BB" w:rsidP="001024BB">
            <w:pPr>
              <w:spacing w:after="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2"/>
                <w:sz w:val="18"/>
                <w:szCs w:val="18"/>
                <w:lang w:eastAsia="ru-RU"/>
              </w:rPr>
              <w:t>тунелів, станцій і вестибулів метрополітену, що будуються</w:t>
            </w:r>
          </w:p>
          <w:p w:rsidR="001024BB" w:rsidRPr="001024BB" w:rsidRDefault="001024BB" w:rsidP="001024BB">
            <w:pPr>
              <w:spacing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відкритим гірничим способом, – 1,80;</w:t>
            </w:r>
          </w:p>
          <w:p w:rsidR="001024BB" w:rsidRPr="001024BB" w:rsidRDefault="001024BB" w:rsidP="001024BB">
            <w:pPr>
              <w:spacing w:before="40" w:after="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 xml:space="preserve">б) </w:t>
            </w:r>
            <w:proofErr w:type="gramStart"/>
            <w:r w:rsidRPr="001024BB">
              <w:rPr>
                <w:rFonts w:ascii="Arial" w:eastAsia="Times New Roman" w:hAnsi="Arial" w:cs="Arial"/>
                <w:color w:val="000000"/>
                <w:sz w:val="18"/>
                <w:szCs w:val="18"/>
                <w:lang w:eastAsia="ru-RU"/>
              </w:rPr>
              <w:t>при</w:t>
            </w:r>
            <w:proofErr w:type="gramEnd"/>
            <w:r w:rsidRPr="001024BB">
              <w:rPr>
                <w:rFonts w:ascii="Arial" w:eastAsia="Times New Roman" w:hAnsi="Arial" w:cs="Arial"/>
                <w:color w:val="000000"/>
                <w:sz w:val="18"/>
                <w:szCs w:val="18"/>
                <w:lang w:eastAsia="ru-RU"/>
              </w:rPr>
              <w:t xml:space="preserve"> відкритому способі робіт, включаючи улаштування колії </w:t>
            </w:r>
          </w:p>
          <w:p w:rsidR="001024BB" w:rsidRPr="001024BB" w:rsidRDefault="001024BB" w:rsidP="001024BB">
            <w:pPr>
              <w:spacing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lastRenderedPageBreak/>
              <w:t>на поверхні, – 1,35;</w:t>
            </w:r>
          </w:p>
          <w:p w:rsidR="001024BB" w:rsidRPr="001024BB" w:rsidRDefault="001024BB" w:rsidP="001024BB">
            <w:pPr>
              <w:spacing w:before="40" w:after="40" w:line="240" w:lineRule="auto"/>
              <w:ind w:left="57" w:right="57"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 xml:space="preserve">в) при виконанні робіт на шахтній поверхні – 1,23. </w:t>
            </w:r>
          </w:p>
          <w:p w:rsidR="001024BB" w:rsidRPr="001024BB" w:rsidRDefault="001024BB" w:rsidP="001024BB">
            <w:pPr>
              <w:spacing w:before="40" w:after="40" w:line="240" w:lineRule="auto"/>
              <w:ind w:left="57" w:right="57" w:firstLine="284"/>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 xml:space="preserve">3. </w:t>
            </w:r>
            <w:r w:rsidRPr="001024BB">
              <w:rPr>
                <w:rFonts w:ascii="Arial" w:eastAsia="Times New Roman" w:hAnsi="Arial" w:cs="Arial"/>
                <w:color w:val="000000"/>
                <w:spacing w:val="4"/>
                <w:sz w:val="18"/>
                <w:szCs w:val="18"/>
                <w:lang w:eastAsia="ru-RU"/>
              </w:rPr>
              <w:t>Задля розрахунку заробітної плати на будівництві великих мостів та мостових</w:t>
            </w:r>
            <w:r w:rsidRPr="001024BB">
              <w:rPr>
                <w:rFonts w:ascii="Arial" w:eastAsia="Times New Roman" w:hAnsi="Arial" w:cs="Arial"/>
                <w:color w:val="000000"/>
                <w:sz w:val="18"/>
                <w:szCs w:val="18"/>
                <w:lang w:eastAsia="ru-RU"/>
              </w:rPr>
              <w:t xml:space="preserve"> переходів із мостобудівними об’єктами у їх складі (мости, естакади, шляхопроводи, автотранспортні розв’язки в </w:t>
            </w:r>
            <w:proofErr w:type="gramStart"/>
            <w:r w:rsidRPr="001024BB">
              <w:rPr>
                <w:rFonts w:ascii="Arial" w:eastAsia="Times New Roman" w:hAnsi="Arial" w:cs="Arial"/>
                <w:color w:val="000000"/>
                <w:sz w:val="18"/>
                <w:szCs w:val="18"/>
                <w:lang w:eastAsia="ru-RU"/>
              </w:rPr>
              <w:t>р</w:t>
            </w:r>
            <w:proofErr w:type="gramEnd"/>
            <w:r w:rsidRPr="001024BB">
              <w:rPr>
                <w:rFonts w:ascii="Arial" w:eastAsia="Times New Roman" w:hAnsi="Arial" w:cs="Arial"/>
                <w:color w:val="000000"/>
                <w:sz w:val="18"/>
                <w:szCs w:val="18"/>
                <w:lang w:eastAsia="ru-RU"/>
              </w:rPr>
              <w:t xml:space="preserve">ізних рівнях), а також віадуків до </w:t>
            </w:r>
            <w:r w:rsidRPr="001024BB">
              <w:rPr>
                <w:rFonts w:ascii="Arial" w:eastAsia="Times New Roman" w:hAnsi="Arial" w:cs="Arial"/>
                <w:color w:val="000000"/>
                <w:spacing w:val="4"/>
                <w:sz w:val="18"/>
                <w:szCs w:val="18"/>
                <w:lang w:eastAsia="ru-RU"/>
              </w:rPr>
              <w:t>вартості людино-години відповідного розряду, наведеної у цьому додатку,</w:t>
            </w:r>
            <w:r w:rsidRPr="001024BB">
              <w:rPr>
                <w:rFonts w:ascii="Arial" w:eastAsia="Times New Roman" w:hAnsi="Arial" w:cs="Arial"/>
                <w:color w:val="000000"/>
                <w:sz w:val="18"/>
                <w:szCs w:val="18"/>
                <w:lang w:eastAsia="ru-RU"/>
              </w:rPr>
              <w:t xml:space="preserve"> застосовується коефіцієнт – 1,62</w:t>
            </w:r>
          </w:p>
          <w:p w:rsidR="001024BB" w:rsidRPr="001024BB" w:rsidRDefault="001024BB" w:rsidP="001024BB">
            <w:pPr>
              <w:spacing w:after="40" w:line="240" w:lineRule="auto"/>
              <w:ind w:left="57" w:right="57" w:firstLine="284"/>
              <w:jc w:val="both"/>
              <w:rPr>
                <w:rFonts w:ascii="Times New Roman" w:eastAsia="Times New Roman" w:hAnsi="Times New Roman" w:cs="Times New Roman"/>
                <w:color w:val="000000"/>
                <w:sz w:val="24"/>
                <w:szCs w:val="24"/>
                <w:lang w:eastAsia="ru-RU"/>
              </w:rPr>
            </w:pPr>
            <w:proofErr w:type="gramStart"/>
            <w:r w:rsidRPr="001024BB">
              <w:rPr>
                <w:rFonts w:ascii="Arial" w:eastAsia="Times New Roman" w:hAnsi="Arial" w:cs="Arial"/>
                <w:color w:val="000000"/>
                <w:sz w:val="18"/>
                <w:szCs w:val="18"/>
                <w:lang w:eastAsia="ru-RU"/>
              </w:rPr>
              <w:t xml:space="preserve">Цей коефіцієнт застосовується при визначенні вартості робіт, виконання </w:t>
            </w:r>
            <w:r w:rsidRPr="001024BB">
              <w:rPr>
                <w:rFonts w:ascii="Arial" w:eastAsia="Times New Roman" w:hAnsi="Arial" w:cs="Arial"/>
                <w:color w:val="000000"/>
                <w:spacing w:val="4"/>
                <w:sz w:val="18"/>
                <w:szCs w:val="18"/>
                <w:lang w:eastAsia="ru-RU"/>
              </w:rPr>
              <w:t>яких безпосередньо пов’язане зі зведенням конструкцій мостів і не застосовується</w:t>
            </w:r>
            <w:r w:rsidRPr="001024BB">
              <w:rPr>
                <w:rFonts w:ascii="Arial" w:eastAsia="Times New Roman" w:hAnsi="Arial" w:cs="Arial"/>
                <w:color w:val="000000"/>
                <w:sz w:val="18"/>
                <w:szCs w:val="18"/>
                <w:lang w:eastAsia="ru-RU"/>
              </w:rPr>
              <w:t xml:space="preserve"> при визначенні вартості робіт будівництва допоміжних об’єктів, що </w:t>
            </w:r>
            <w:r w:rsidRPr="001024BB">
              <w:rPr>
                <w:rFonts w:ascii="Arial" w:eastAsia="Times New Roman" w:hAnsi="Arial" w:cs="Arial"/>
                <w:color w:val="000000"/>
                <w:spacing w:val="-4"/>
                <w:sz w:val="18"/>
                <w:szCs w:val="18"/>
                <w:lang w:eastAsia="ru-RU"/>
              </w:rPr>
              <w:t>можуть входити до складу проекту на будівництво мостів, зокрема, перенесення</w:t>
            </w:r>
            <w:r w:rsidRPr="001024BB">
              <w:rPr>
                <w:rFonts w:ascii="Arial" w:eastAsia="Times New Roman" w:hAnsi="Arial" w:cs="Arial"/>
                <w:color w:val="000000"/>
                <w:sz w:val="18"/>
                <w:szCs w:val="18"/>
                <w:lang w:eastAsia="ru-RU"/>
              </w:rPr>
              <w:t xml:space="preserve"> існуючих комунікацій, спорудження тимчасового насипу, спорудження технологічних</w:t>
            </w:r>
            <w:proofErr w:type="gramEnd"/>
            <w:r w:rsidRPr="001024BB">
              <w:rPr>
                <w:rFonts w:ascii="Arial" w:eastAsia="Times New Roman" w:hAnsi="Arial" w:cs="Arial"/>
                <w:color w:val="000000"/>
                <w:sz w:val="18"/>
                <w:szCs w:val="18"/>
                <w:lang w:eastAsia="ru-RU"/>
              </w:rPr>
              <w:t xml:space="preserve"> доріг, виготовлення залізобетонних та сталевих конструкцій на виробничих базах </w:t>
            </w:r>
            <w:proofErr w:type="gramStart"/>
            <w:r w:rsidRPr="001024BB">
              <w:rPr>
                <w:rFonts w:ascii="Arial" w:eastAsia="Times New Roman" w:hAnsi="Arial" w:cs="Arial"/>
                <w:color w:val="000000"/>
                <w:sz w:val="18"/>
                <w:szCs w:val="18"/>
                <w:lang w:eastAsia="ru-RU"/>
              </w:rPr>
              <w:t>п</w:t>
            </w:r>
            <w:proofErr w:type="gramEnd"/>
            <w:r w:rsidRPr="001024BB">
              <w:rPr>
                <w:rFonts w:ascii="Arial" w:eastAsia="Times New Roman" w:hAnsi="Arial" w:cs="Arial"/>
                <w:color w:val="000000"/>
                <w:sz w:val="18"/>
                <w:szCs w:val="18"/>
                <w:lang w:eastAsia="ru-RU"/>
              </w:rPr>
              <w:t xml:space="preserve">ідрядної організації тощо. </w:t>
            </w:r>
          </w:p>
          <w:p w:rsidR="001024BB" w:rsidRPr="001024BB" w:rsidRDefault="001024BB" w:rsidP="001024BB">
            <w:pPr>
              <w:spacing w:before="120" w:after="0" w:line="240" w:lineRule="auto"/>
              <w:ind w:left="170" w:firstLine="119"/>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t xml:space="preserve">Начальник Управління ціноутворення, </w:t>
            </w:r>
          </w:p>
          <w:p w:rsidR="001024BB" w:rsidRPr="001024BB" w:rsidRDefault="001024BB" w:rsidP="001024BB">
            <w:pPr>
              <w:spacing w:before="100" w:beforeAutospacing="1" w:after="100" w:afterAutospacing="1" w:line="240" w:lineRule="auto"/>
              <w:ind w:left="170" w:firstLine="120"/>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t>експертизи та контролю вартості</w:t>
            </w:r>
          </w:p>
          <w:p w:rsidR="001024BB" w:rsidRPr="001024BB" w:rsidRDefault="001024BB" w:rsidP="001024BB">
            <w:pPr>
              <w:spacing w:before="100" w:beforeAutospacing="1" w:after="100" w:afterAutospacing="1" w:line="240" w:lineRule="auto"/>
              <w:ind w:left="170" w:firstLine="120"/>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t>у будівництві П.І. Губень</w:t>
            </w:r>
          </w:p>
          <w:p w:rsidR="001024BB" w:rsidRPr="001024BB" w:rsidRDefault="001024BB" w:rsidP="001024BB">
            <w:pPr>
              <w:spacing w:after="0" w:line="240" w:lineRule="auto"/>
              <w:ind w:left="3969"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20"/>
                <w:szCs w:val="20"/>
                <w:lang w:eastAsia="ru-RU"/>
              </w:rPr>
              <w:t>Додаток 12</w:t>
            </w:r>
          </w:p>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Довідковий</w:t>
            </w:r>
          </w:p>
          <w:p w:rsidR="001024BB" w:rsidRPr="001024BB" w:rsidRDefault="001024BB" w:rsidP="001024BB">
            <w:pPr>
              <w:spacing w:after="0" w:line="240" w:lineRule="auto"/>
              <w:ind w:firstLine="150"/>
              <w:jc w:val="center"/>
              <w:rPr>
                <w:rFonts w:ascii="Verdana" w:eastAsia="Times New Roman" w:hAnsi="Verdana" w:cs="Times New Roman"/>
                <w:color w:val="000000"/>
                <w:sz w:val="17"/>
                <w:szCs w:val="17"/>
                <w:lang w:eastAsia="ru-RU"/>
              </w:rPr>
            </w:pPr>
            <w:r w:rsidRPr="001024BB">
              <w:rPr>
                <w:rFonts w:ascii="Times New Roman" w:eastAsia="Times New Roman" w:hAnsi="Times New Roman" w:cs="Times New Roman"/>
                <w:b/>
                <w:bCs/>
                <w:color w:val="000000"/>
                <w:sz w:val="21"/>
                <w:szCs w:val="21"/>
                <w:lang w:eastAsia="ru-RU"/>
              </w:rPr>
              <w:t>Усереднені показники для визначення розміру</w:t>
            </w:r>
          </w:p>
          <w:p w:rsidR="001024BB" w:rsidRPr="001024BB" w:rsidRDefault="001024BB" w:rsidP="001024BB">
            <w:pPr>
              <w:spacing w:before="100" w:beforeAutospacing="1" w:after="120" w:line="240" w:lineRule="auto"/>
              <w:ind w:firstLine="150"/>
              <w:jc w:val="center"/>
              <w:rPr>
                <w:rFonts w:ascii="Times New Roman" w:eastAsia="Times New Roman" w:hAnsi="Times New Roman" w:cs="Times New Roman"/>
                <w:color w:val="000000"/>
                <w:sz w:val="24"/>
                <w:szCs w:val="24"/>
                <w:lang w:eastAsia="ru-RU"/>
              </w:rPr>
            </w:pPr>
            <w:r w:rsidRPr="001024BB">
              <w:rPr>
                <w:rFonts w:ascii="Times New Roman" w:eastAsia="Times New Roman" w:hAnsi="Times New Roman" w:cs="Times New Roman"/>
                <w:b/>
                <w:bCs/>
                <w:color w:val="000000"/>
                <w:sz w:val="21"/>
                <w:szCs w:val="21"/>
                <w:lang w:eastAsia="ru-RU"/>
              </w:rPr>
              <w:t>кошторисного прибутку за видами будівництва</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
              <w:gridCol w:w="5103"/>
              <w:gridCol w:w="1304"/>
            </w:tblGrid>
            <w:tr w:rsidR="001024BB" w:rsidRPr="001024BB">
              <w:trPr>
                <w:jc w:val="center"/>
              </w:trPr>
              <w:tc>
                <w:tcPr>
                  <w:tcW w:w="3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 xml:space="preserve">№ </w:t>
                  </w:r>
                  <w:proofErr w:type="gramStart"/>
                  <w:r w:rsidRPr="001024BB">
                    <w:rPr>
                      <w:rFonts w:ascii="Arial" w:eastAsia="Times New Roman" w:hAnsi="Arial" w:cs="Arial"/>
                      <w:color w:val="000000"/>
                      <w:sz w:val="18"/>
                      <w:szCs w:val="18"/>
                      <w:lang w:eastAsia="ru-RU"/>
                    </w:rPr>
                    <w:t>п</w:t>
                  </w:r>
                  <w:proofErr w:type="gramEnd"/>
                  <w:r w:rsidRPr="001024BB">
                    <w:rPr>
                      <w:rFonts w:ascii="Arial" w:eastAsia="Times New Roman" w:hAnsi="Arial" w:cs="Arial"/>
                      <w:color w:val="000000"/>
                      <w:sz w:val="18"/>
                      <w:szCs w:val="18"/>
                      <w:lang w:eastAsia="ru-RU"/>
                    </w:rPr>
                    <w:t>/п</w:t>
                  </w:r>
                </w:p>
              </w:tc>
              <w:tc>
                <w:tcPr>
                  <w:tcW w:w="5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Види будівництва</w:t>
                  </w:r>
                </w:p>
              </w:tc>
              <w:tc>
                <w:tcPr>
                  <w:tcW w:w="130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6"/>
                      <w:szCs w:val="16"/>
                      <w:lang w:eastAsia="ru-RU"/>
                    </w:rPr>
                    <w:t xml:space="preserve">Усереднені </w:t>
                  </w:r>
                  <w:r w:rsidRPr="001024BB">
                    <w:rPr>
                      <w:rFonts w:ascii="Arial" w:eastAsia="Times New Roman" w:hAnsi="Arial" w:cs="Arial"/>
                      <w:color w:val="000000"/>
                      <w:sz w:val="16"/>
                      <w:szCs w:val="16"/>
                      <w:lang w:eastAsia="ru-RU"/>
                    </w:rPr>
                    <w:br/>
                    <w:t xml:space="preserve">показники для визначення розміру </w:t>
                  </w:r>
                  <w:r w:rsidRPr="001024BB">
                    <w:rPr>
                      <w:rFonts w:ascii="Arial" w:eastAsia="Times New Roman" w:hAnsi="Arial" w:cs="Arial"/>
                      <w:color w:val="000000"/>
                      <w:spacing w:val="-6"/>
                      <w:sz w:val="16"/>
                      <w:szCs w:val="16"/>
                      <w:lang w:eastAsia="ru-RU"/>
                    </w:rPr>
                    <w:t>кошторисного прибутку</w:t>
                  </w:r>
                  <w:r w:rsidRPr="001024BB">
                    <w:rPr>
                      <w:rFonts w:ascii="Arial" w:eastAsia="Times New Roman" w:hAnsi="Arial" w:cs="Arial"/>
                      <w:color w:val="000000"/>
                      <w:sz w:val="16"/>
                      <w:szCs w:val="16"/>
                      <w:lang w:eastAsia="ru-RU"/>
                    </w:rPr>
                    <w:t>, грн./люд</w:t>
                  </w:r>
                  <w:proofErr w:type="gramStart"/>
                  <w:r w:rsidRPr="001024BB">
                    <w:rPr>
                      <w:rFonts w:ascii="Arial" w:eastAsia="Times New Roman" w:hAnsi="Arial" w:cs="Arial"/>
                      <w:color w:val="000000"/>
                      <w:sz w:val="16"/>
                      <w:szCs w:val="16"/>
                      <w:lang w:eastAsia="ru-RU"/>
                    </w:rPr>
                    <w:t>.-</w:t>
                  </w:r>
                  <w:proofErr w:type="gramEnd"/>
                  <w:r w:rsidRPr="001024BB">
                    <w:rPr>
                      <w:rFonts w:ascii="Arial" w:eastAsia="Times New Roman" w:hAnsi="Arial" w:cs="Arial"/>
                      <w:color w:val="000000"/>
                      <w:sz w:val="16"/>
                      <w:szCs w:val="16"/>
                      <w:lang w:eastAsia="ru-RU"/>
                    </w:rPr>
                    <w:t>год.</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6"/>
                      <w:szCs w:val="16"/>
                      <w:lang w:eastAsia="ru-RU"/>
                    </w:rPr>
                    <w:t>1</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6"/>
                      <w:szCs w:val="16"/>
                      <w:lang w:eastAsia="ru-RU"/>
                    </w:rPr>
                    <w:t>2</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6"/>
                      <w:szCs w:val="16"/>
                      <w:lang w:eastAsia="ru-RU"/>
                    </w:rPr>
                    <w:t>3</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1</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spacing w:val="-4"/>
                      <w:sz w:val="17"/>
                      <w:szCs w:val="17"/>
                      <w:lang w:eastAsia="ru-RU"/>
                    </w:rPr>
                    <w:t>Особливо складні</w:t>
                  </w:r>
                  <w:r w:rsidRPr="001024BB">
                    <w:rPr>
                      <w:rFonts w:ascii="Arial" w:eastAsia="Times New Roman" w:hAnsi="Arial" w:cs="Arial"/>
                      <w:color w:val="000000"/>
                      <w:spacing w:val="-4"/>
                      <w:sz w:val="17"/>
                      <w:szCs w:val="17"/>
                      <w:lang w:eastAsia="ru-RU"/>
                    </w:rPr>
                    <w:t xml:space="preserve"> інженерні споруди (у тому числі ГЕС, </w:t>
                  </w:r>
                  <w:r w:rsidRPr="001024BB">
                    <w:rPr>
                      <w:rFonts w:ascii="Arial" w:eastAsia="Times New Roman" w:hAnsi="Arial" w:cs="Arial"/>
                      <w:color w:val="000000"/>
                      <w:sz w:val="17"/>
                      <w:szCs w:val="17"/>
                      <w:lang w:eastAsia="ru-RU"/>
                    </w:rPr>
                    <w:t>ядерні установки та об’єкти, призначені для поводження з радіоактивними відходами, шахти, метрополітени, тунелі, мости, аеродроми</w:t>
                  </w:r>
                  <w:r w:rsidRPr="001024BB">
                    <w:rPr>
                      <w:rFonts w:ascii="Arial" w:eastAsia="Times New Roman" w:hAnsi="Arial" w:cs="Arial"/>
                      <w:color w:val="000000"/>
                      <w:spacing w:val="-4"/>
                      <w:sz w:val="17"/>
                      <w:szCs w:val="17"/>
                      <w:lang w:eastAsia="ru-RU"/>
                    </w:rPr>
                    <w:t xml:space="preserve">, гідротехнічні споруди тощо), </w:t>
                  </w:r>
                  <w:r w:rsidRPr="001024BB">
                    <w:rPr>
                      <w:rFonts w:ascii="Arial" w:eastAsia="Times New Roman" w:hAnsi="Arial" w:cs="Arial"/>
                      <w:b/>
                      <w:bCs/>
                      <w:color w:val="000000"/>
                      <w:spacing w:val="-4"/>
                      <w:sz w:val="17"/>
                      <w:szCs w:val="17"/>
                      <w:lang w:eastAsia="ru-RU"/>
                    </w:rPr>
                    <w:t xml:space="preserve">особливо складні </w:t>
                  </w:r>
                  <w:proofErr w:type="gramStart"/>
                  <w:r w:rsidRPr="001024BB">
                    <w:rPr>
                      <w:rFonts w:ascii="Arial" w:eastAsia="Times New Roman" w:hAnsi="Arial" w:cs="Arial"/>
                      <w:b/>
                      <w:bCs/>
                      <w:color w:val="000000"/>
                      <w:spacing w:val="-4"/>
                      <w:sz w:val="17"/>
                      <w:szCs w:val="17"/>
                      <w:lang w:eastAsia="ru-RU"/>
                    </w:rPr>
                    <w:t>техн</w:t>
                  </w:r>
                  <w:proofErr w:type="gramEnd"/>
                  <w:r w:rsidRPr="001024BB">
                    <w:rPr>
                      <w:rFonts w:ascii="Arial" w:eastAsia="Times New Roman" w:hAnsi="Arial" w:cs="Arial"/>
                      <w:b/>
                      <w:bCs/>
                      <w:color w:val="000000"/>
                      <w:spacing w:val="-4"/>
                      <w:sz w:val="17"/>
                      <w:szCs w:val="17"/>
                      <w:lang w:eastAsia="ru-RU"/>
                    </w:rPr>
                    <w:t xml:space="preserve">ічно </w:t>
                  </w:r>
                  <w:r w:rsidRPr="001024BB">
                    <w:rPr>
                      <w:rFonts w:ascii="Arial" w:eastAsia="Times New Roman" w:hAnsi="Arial" w:cs="Arial"/>
                      <w:b/>
                      <w:bCs/>
                      <w:color w:val="000000"/>
                      <w:spacing w:val="4"/>
                      <w:sz w:val="17"/>
                      <w:szCs w:val="17"/>
                      <w:lang w:eastAsia="ru-RU"/>
                    </w:rPr>
                    <w:t xml:space="preserve">або архітектурно </w:t>
                  </w:r>
                  <w:r w:rsidRPr="001024BB">
                    <w:rPr>
                      <w:rFonts w:ascii="Arial" w:eastAsia="Times New Roman" w:hAnsi="Arial" w:cs="Arial"/>
                      <w:color w:val="000000"/>
                      <w:spacing w:val="4"/>
                      <w:sz w:val="17"/>
                      <w:szCs w:val="17"/>
                      <w:lang w:eastAsia="ru-RU"/>
                    </w:rPr>
                    <w:t>громадські будівлі та споруди, залізниці,</w:t>
                  </w:r>
                  <w:r w:rsidRPr="001024BB">
                    <w:rPr>
                      <w:rFonts w:ascii="Arial" w:eastAsia="Times New Roman" w:hAnsi="Arial" w:cs="Arial"/>
                      <w:color w:val="000000"/>
                      <w:sz w:val="17"/>
                      <w:szCs w:val="17"/>
                      <w:lang w:eastAsia="ru-RU"/>
                    </w:rPr>
                    <w:t xml:space="preserve"> </w:t>
                  </w:r>
                  <w:r w:rsidRPr="001024BB">
                    <w:rPr>
                      <w:rFonts w:ascii="Arial" w:eastAsia="Times New Roman" w:hAnsi="Arial" w:cs="Arial"/>
                      <w:color w:val="000000"/>
                      <w:spacing w:val="4"/>
                      <w:sz w:val="17"/>
                      <w:szCs w:val="17"/>
                      <w:lang w:eastAsia="ru-RU"/>
                    </w:rPr>
                    <w:t xml:space="preserve">магістральні автодороги, магістральні мережі (у тому числі магістральні трубопроводи і споруди газонафтопродуктів, </w:t>
                  </w:r>
                  <w:proofErr w:type="gramStart"/>
                  <w:r w:rsidRPr="001024BB">
                    <w:rPr>
                      <w:rFonts w:ascii="Arial" w:eastAsia="Times New Roman" w:hAnsi="Arial" w:cs="Arial"/>
                      <w:color w:val="000000"/>
                      <w:spacing w:val="4"/>
                      <w:sz w:val="17"/>
                      <w:szCs w:val="17"/>
                      <w:lang w:eastAsia="ru-RU"/>
                    </w:rPr>
                    <w:t>м</w:t>
                  </w:r>
                  <w:proofErr w:type="gramEnd"/>
                  <w:r w:rsidRPr="001024BB">
                    <w:rPr>
                      <w:rFonts w:ascii="Arial" w:eastAsia="Times New Roman" w:hAnsi="Arial" w:cs="Arial"/>
                      <w:color w:val="000000"/>
                      <w:spacing w:val="4"/>
                      <w:sz w:val="17"/>
                      <w:szCs w:val="17"/>
                      <w:lang w:eastAsia="ru-RU"/>
                    </w:rPr>
                    <w:t>іжміські</w:t>
                  </w:r>
                  <w:r w:rsidRPr="001024BB">
                    <w:rPr>
                      <w:rFonts w:ascii="Arial" w:eastAsia="Times New Roman" w:hAnsi="Arial" w:cs="Arial"/>
                      <w:color w:val="000000"/>
                      <w:spacing w:val="-4"/>
                      <w:sz w:val="17"/>
                      <w:szCs w:val="17"/>
                      <w:lang w:eastAsia="ru-RU"/>
                    </w:rPr>
                    <w:t xml:space="preserve"> лінії зв’язку, високовольтні мережі 35 кВ і вище), що обгрунтовується проектом</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7,76</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2</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7"/>
                      <w:szCs w:val="17"/>
                      <w:lang w:eastAsia="ru-RU"/>
                    </w:rPr>
                    <w:t xml:space="preserve">Ремонтні та реставраційно-відновлювальні роботи </w:t>
                  </w:r>
                  <w:r w:rsidRPr="001024BB">
                    <w:rPr>
                      <w:rFonts w:ascii="Arial" w:eastAsia="Times New Roman" w:hAnsi="Arial" w:cs="Arial"/>
                      <w:color w:val="000000"/>
                      <w:spacing w:val="4"/>
                      <w:sz w:val="17"/>
                      <w:szCs w:val="17"/>
                      <w:lang w:eastAsia="ru-RU"/>
                    </w:rPr>
                    <w:t xml:space="preserve">на пам’ятках </w:t>
                  </w:r>
                  <w:proofErr w:type="gramStart"/>
                  <w:r w:rsidRPr="001024BB">
                    <w:rPr>
                      <w:rFonts w:ascii="Arial" w:eastAsia="Times New Roman" w:hAnsi="Arial" w:cs="Arial"/>
                      <w:color w:val="000000"/>
                      <w:spacing w:val="4"/>
                      <w:sz w:val="17"/>
                      <w:szCs w:val="17"/>
                      <w:lang w:eastAsia="ru-RU"/>
                    </w:rPr>
                    <w:t>арх</w:t>
                  </w:r>
                  <w:proofErr w:type="gramEnd"/>
                  <w:r w:rsidRPr="001024BB">
                    <w:rPr>
                      <w:rFonts w:ascii="Arial" w:eastAsia="Times New Roman" w:hAnsi="Arial" w:cs="Arial"/>
                      <w:color w:val="000000"/>
                      <w:spacing w:val="4"/>
                      <w:sz w:val="17"/>
                      <w:szCs w:val="17"/>
                      <w:lang w:eastAsia="ru-RU"/>
                    </w:rPr>
                    <w:t xml:space="preserve">ітектури та </w:t>
                  </w:r>
                  <w:r w:rsidRPr="001024BB">
                    <w:rPr>
                      <w:rFonts w:ascii="Arial" w:eastAsia="Times New Roman" w:hAnsi="Arial" w:cs="Arial"/>
                      <w:color w:val="000000"/>
                      <w:sz w:val="17"/>
                      <w:szCs w:val="17"/>
                      <w:lang w:eastAsia="ru-RU"/>
                    </w:rPr>
                    <w:t xml:space="preserve">містобудування, вартість яких </w:t>
                  </w:r>
                  <w:r w:rsidRPr="001024BB">
                    <w:rPr>
                      <w:rFonts w:ascii="Arial" w:eastAsia="Times New Roman" w:hAnsi="Arial" w:cs="Arial"/>
                      <w:color w:val="000000"/>
                      <w:spacing w:val="-6"/>
                      <w:sz w:val="17"/>
                      <w:szCs w:val="17"/>
                      <w:lang w:eastAsia="ru-RU"/>
                    </w:rPr>
                    <w:t xml:space="preserve">визначається за збірниками </w:t>
                  </w:r>
                  <w:r w:rsidRPr="001024BB">
                    <w:rPr>
                      <w:rFonts w:ascii="Arial" w:eastAsia="Times New Roman" w:hAnsi="Arial" w:cs="Arial"/>
                      <w:color w:val="000000"/>
                      <w:spacing w:val="-4"/>
                      <w:sz w:val="17"/>
                      <w:szCs w:val="17"/>
                      <w:lang w:eastAsia="ru-RU"/>
                    </w:rPr>
                    <w:t xml:space="preserve">РЕКНрв </w:t>
                  </w:r>
                  <w:r w:rsidRPr="001024BB">
                    <w:rPr>
                      <w:rFonts w:ascii="Arial" w:eastAsia="Times New Roman" w:hAnsi="Arial" w:cs="Arial"/>
                      <w:color w:val="000000"/>
                      <w:spacing w:val="-6"/>
                      <w:sz w:val="17"/>
                      <w:szCs w:val="17"/>
                      <w:lang w:eastAsia="ru-RU"/>
                    </w:rPr>
                    <w:t>№№ 4, 6, 7, 10, 11, 16, 19, 21</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2,71</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3</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Реставраційно-відновлювальні роботи, вартість яких визначається</w:t>
                  </w:r>
                  <w:r w:rsidRPr="001024BB">
                    <w:rPr>
                      <w:rFonts w:ascii="Arial" w:eastAsia="Times New Roman" w:hAnsi="Arial" w:cs="Arial"/>
                      <w:color w:val="000000"/>
                      <w:spacing w:val="-4"/>
                      <w:sz w:val="17"/>
                      <w:szCs w:val="17"/>
                      <w:lang w:eastAsia="ru-RU"/>
                    </w:rPr>
                    <w:t xml:space="preserve"> за збірниками норм на реставраційно-відновлювальні роботи (РЕКНрв) (</w:t>
                  </w:r>
                  <w:proofErr w:type="gramStart"/>
                  <w:r w:rsidRPr="001024BB">
                    <w:rPr>
                      <w:rFonts w:ascii="Arial" w:eastAsia="Times New Roman" w:hAnsi="Arial" w:cs="Arial"/>
                      <w:color w:val="000000"/>
                      <w:spacing w:val="-4"/>
                      <w:sz w:val="17"/>
                      <w:szCs w:val="17"/>
                      <w:lang w:eastAsia="ru-RU"/>
                    </w:rPr>
                    <w:t>кр</w:t>
                  </w:r>
                  <w:proofErr w:type="gramEnd"/>
                  <w:r w:rsidRPr="001024BB">
                    <w:rPr>
                      <w:rFonts w:ascii="Arial" w:eastAsia="Times New Roman" w:hAnsi="Arial" w:cs="Arial"/>
                      <w:color w:val="000000"/>
                      <w:spacing w:val="-4"/>
                      <w:sz w:val="17"/>
                      <w:szCs w:val="17"/>
                      <w:lang w:eastAsia="ru-RU"/>
                    </w:rPr>
                    <w:t>ім збірників №№ 4, 6, 7, 10, 11, 16, 19, 21)</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1,31</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4</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Будівництво мереж зв’язку</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6,28</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5</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 xml:space="preserve">Промислові </w:t>
                  </w:r>
                  <w:proofErr w:type="gramStart"/>
                  <w:r w:rsidRPr="001024BB">
                    <w:rPr>
                      <w:rFonts w:ascii="Arial" w:eastAsia="Times New Roman" w:hAnsi="Arial" w:cs="Arial"/>
                      <w:color w:val="000000"/>
                      <w:sz w:val="17"/>
                      <w:szCs w:val="17"/>
                      <w:lang w:eastAsia="ru-RU"/>
                    </w:rPr>
                    <w:t>п</w:t>
                  </w:r>
                  <w:proofErr w:type="gramEnd"/>
                  <w:r w:rsidRPr="001024BB">
                    <w:rPr>
                      <w:rFonts w:ascii="Arial" w:eastAsia="Times New Roman" w:hAnsi="Arial" w:cs="Arial"/>
                      <w:color w:val="000000"/>
                      <w:sz w:val="17"/>
                      <w:szCs w:val="17"/>
                      <w:lang w:eastAsia="ru-RU"/>
                    </w:rPr>
                    <w:t xml:space="preserve">ідприємства та об’єкти виробничого призначення </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6,20</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6</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Будинки органів управління, прокуратури, будинки страхових компаній, банки, ресторани, центри зайнятості тощо</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3,78</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7</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Житлові будинки (у тому числі готелі, гуртожитки, будинк</w:t>
                  </w:r>
                  <w:proofErr w:type="gramStart"/>
                  <w:r w:rsidRPr="001024BB">
                    <w:rPr>
                      <w:rFonts w:ascii="Arial" w:eastAsia="Times New Roman" w:hAnsi="Arial" w:cs="Arial"/>
                      <w:color w:val="000000"/>
                      <w:sz w:val="17"/>
                      <w:szCs w:val="17"/>
                      <w:lang w:eastAsia="ru-RU"/>
                    </w:rPr>
                    <w:t>и-</w:t>
                  </w:r>
                  <w:proofErr w:type="gramEnd"/>
                  <w:r w:rsidRPr="001024BB">
                    <w:rPr>
                      <w:rFonts w:ascii="Arial" w:eastAsia="Times New Roman" w:hAnsi="Arial" w:cs="Arial"/>
                      <w:color w:val="000000"/>
                      <w:sz w:val="17"/>
                      <w:szCs w:val="17"/>
                      <w:lang w:eastAsia="ru-RU"/>
                    </w:rPr>
                    <w:t xml:space="preserve">інтернати) </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3,82</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8</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7"/>
                      <w:szCs w:val="17"/>
                      <w:lang w:eastAsia="ru-RU"/>
                    </w:rPr>
                    <w:t>Будинки навчальних закладів, охорони здоров’я і відпочинку</w:t>
                  </w:r>
                  <w:r w:rsidRPr="001024BB">
                    <w:rPr>
                      <w:rFonts w:ascii="Arial" w:eastAsia="Times New Roman" w:hAnsi="Arial" w:cs="Arial"/>
                      <w:color w:val="000000"/>
                      <w:sz w:val="17"/>
                      <w:szCs w:val="17"/>
                      <w:lang w:eastAsia="ru-RU"/>
                    </w:rPr>
                    <w:t xml:space="preserve"> (</w:t>
                  </w:r>
                  <w:proofErr w:type="gramStart"/>
                  <w:r w:rsidRPr="001024BB">
                    <w:rPr>
                      <w:rFonts w:ascii="Arial" w:eastAsia="Times New Roman" w:hAnsi="Arial" w:cs="Arial"/>
                      <w:color w:val="000000"/>
                      <w:sz w:val="17"/>
                      <w:szCs w:val="17"/>
                      <w:lang w:eastAsia="ru-RU"/>
                    </w:rPr>
                    <w:t>у</w:t>
                  </w:r>
                  <w:proofErr w:type="gramEnd"/>
                  <w:r w:rsidRPr="001024BB">
                    <w:rPr>
                      <w:rFonts w:ascii="Arial" w:eastAsia="Times New Roman" w:hAnsi="Arial" w:cs="Arial"/>
                      <w:color w:val="000000"/>
                      <w:sz w:val="17"/>
                      <w:szCs w:val="17"/>
                      <w:lang w:eastAsia="ru-RU"/>
                    </w:rPr>
                    <w:t xml:space="preserve"> </w:t>
                  </w:r>
                  <w:proofErr w:type="gramStart"/>
                  <w:r w:rsidRPr="001024BB">
                    <w:rPr>
                      <w:rFonts w:ascii="Arial" w:eastAsia="Times New Roman" w:hAnsi="Arial" w:cs="Arial"/>
                      <w:color w:val="000000"/>
                      <w:sz w:val="17"/>
                      <w:szCs w:val="17"/>
                      <w:lang w:eastAsia="ru-RU"/>
                    </w:rPr>
                    <w:t>тому</w:t>
                  </w:r>
                  <w:proofErr w:type="gramEnd"/>
                  <w:r w:rsidRPr="001024BB">
                    <w:rPr>
                      <w:rFonts w:ascii="Arial" w:eastAsia="Times New Roman" w:hAnsi="Arial" w:cs="Arial"/>
                      <w:color w:val="000000"/>
                      <w:sz w:val="17"/>
                      <w:szCs w:val="17"/>
                      <w:lang w:eastAsia="ru-RU"/>
                    </w:rPr>
                    <w:t xml:space="preserve"> числі школи, дитячі садки, лікарні, санаторії, будинки </w:t>
                  </w:r>
                  <w:r w:rsidRPr="001024BB">
                    <w:rPr>
                      <w:rFonts w:ascii="Arial" w:eastAsia="Times New Roman" w:hAnsi="Arial" w:cs="Arial"/>
                      <w:color w:val="000000"/>
                      <w:spacing w:val="-4"/>
                      <w:sz w:val="17"/>
                      <w:szCs w:val="17"/>
                      <w:lang w:eastAsia="ru-RU"/>
                    </w:rPr>
                    <w:t>відпочинку, фізкультурно-оздоровчі комплекси, стадіони, басейни)</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3,38</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9</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proofErr w:type="gramStart"/>
                  <w:r w:rsidRPr="001024BB">
                    <w:rPr>
                      <w:rFonts w:ascii="Arial" w:eastAsia="Times New Roman" w:hAnsi="Arial" w:cs="Arial"/>
                      <w:color w:val="000000"/>
                      <w:sz w:val="17"/>
                      <w:szCs w:val="17"/>
                      <w:lang w:eastAsia="ru-RU"/>
                    </w:rPr>
                    <w:t>Будинки культурно-освітніх і видовищних закладів (у тому числі бібліотеки, театри, клуби, кінотеатри, цирки, музеї, виставки), культові споруди</w:t>
                  </w:r>
                  <w:proofErr w:type="gramEnd"/>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2,96</w:t>
                  </w:r>
                </w:p>
              </w:tc>
            </w:tr>
            <w:tr w:rsidR="001024BB" w:rsidRPr="001024BB">
              <w:trPr>
                <w:jc w:val="center"/>
              </w:trPr>
              <w:tc>
                <w:tcPr>
                  <w:tcW w:w="340" w:type="dxa"/>
                  <w:tcBorders>
                    <w:top w:val="nil"/>
                    <w:left w:val="single" w:sz="8" w:space="0" w:color="auto"/>
                    <w:bottom w:val="nil"/>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10</w:t>
                  </w:r>
                </w:p>
              </w:tc>
              <w:tc>
                <w:tcPr>
                  <w:tcW w:w="5103" w:type="dxa"/>
                  <w:tcBorders>
                    <w:top w:val="nil"/>
                    <w:left w:val="nil"/>
                    <w:bottom w:val="nil"/>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Будинки науково-дослідних установ (</w:t>
                  </w:r>
                  <w:proofErr w:type="gramStart"/>
                  <w:r w:rsidRPr="001024BB">
                    <w:rPr>
                      <w:rFonts w:ascii="Arial" w:eastAsia="Times New Roman" w:hAnsi="Arial" w:cs="Arial"/>
                      <w:color w:val="000000"/>
                      <w:sz w:val="17"/>
                      <w:szCs w:val="17"/>
                      <w:lang w:eastAsia="ru-RU"/>
                    </w:rPr>
                    <w:t>у</w:t>
                  </w:r>
                  <w:proofErr w:type="gramEnd"/>
                  <w:r w:rsidRPr="001024BB">
                    <w:rPr>
                      <w:rFonts w:ascii="Arial" w:eastAsia="Times New Roman" w:hAnsi="Arial" w:cs="Arial"/>
                      <w:color w:val="000000"/>
                      <w:sz w:val="17"/>
                      <w:szCs w:val="17"/>
                      <w:lang w:eastAsia="ru-RU"/>
                    </w:rPr>
                    <w:t xml:space="preserve"> </w:t>
                  </w:r>
                  <w:proofErr w:type="gramStart"/>
                  <w:r w:rsidRPr="001024BB">
                    <w:rPr>
                      <w:rFonts w:ascii="Arial" w:eastAsia="Times New Roman" w:hAnsi="Arial" w:cs="Arial"/>
                      <w:color w:val="000000"/>
                      <w:sz w:val="17"/>
                      <w:szCs w:val="17"/>
                      <w:lang w:eastAsia="ru-RU"/>
                    </w:rPr>
                    <w:t>тому</w:t>
                  </w:r>
                  <w:proofErr w:type="gramEnd"/>
                  <w:r w:rsidRPr="001024BB">
                    <w:rPr>
                      <w:rFonts w:ascii="Arial" w:eastAsia="Times New Roman" w:hAnsi="Arial" w:cs="Arial"/>
                      <w:color w:val="000000"/>
                      <w:sz w:val="17"/>
                      <w:szCs w:val="17"/>
                      <w:lang w:eastAsia="ru-RU"/>
                    </w:rPr>
                    <w:t xml:space="preserve"> числі науково-дослідні інститути, проектні інститути та конструкторські бюро, лабораторії)</w:t>
                  </w:r>
                </w:p>
              </w:tc>
              <w:tc>
                <w:tcPr>
                  <w:tcW w:w="1304" w:type="dxa"/>
                  <w:tcBorders>
                    <w:top w:val="nil"/>
                    <w:left w:val="nil"/>
                    <w:bottom w:val="nil"/>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2,90</w:t>
                  </w:r>
                </w:p>
              </w:tc>
            </w:tr>
            <w:tr w:rsidR="001024BB" w:rsidRPr="001024BB">
              <w:trPr>
                <w:jc w:val="center"/>
              </w:trPr>
              <w:tc>
                <w:tcPr>
                  <w:tcW w:w="34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11</w:t>
                  </w:r>
                </w:p>
              </w:tc>
              <w:tc>
                <w:tcPr>
                  <w:tcW w:w="5103" w:type="dxa"/>
                  <w:tcBorders>
                    <w:top w:val="single" w:sz="8" w:space="0" w:color="auto"/>
                    <w:left w:val="nil"/>
                    <w:bottom w:val="nil"/>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7"/>
                      <w:szCs w:val="17"/>
                      <w:lang w:eastAsia="ru-RU"/>
                    </w:rPr>
                    <w:t>Будинки транспорту (</w:t>
                  </w:r>
                  <w:proofErr w:type="gramStart"/>
                  <w:r w:rsidRPr="001024BB">
                    <w:rPr>
                      <w:rFonts w:ascii="Arial" w:eastAsia="Times New Roman" w:hAnsi="Arial" w:cs="Arial"/>
                      <w:color w:val="000000"/>
                      <w:spacing w:val="-4"/>
                      <w:sz w:val="17"/>
                      <w:szCs w:val="17"/>
                      <w:lang w:eastAsia="ru-RU"/>
                    </w:rPr>
                    <w:t>у</w:t>
                  </w:r>
                  <w:proofErr w:type="gramEnd"/>
                  <w:r w:rsidRPr="001024BB">
                    <w:rPr>
                      <w:rFonts w:ascii="Arial" w:eastAsia="Times New Roman" w:hAnsi="Arial" w:cs="Arial"/>
                      <w:color w:val="000000"/>
                      <w:spacing w:val="-4"/>
                      <w:sz w:val="17"/>
                      <w:szCs w:val="17"/>
                      <w:lang w:eastAsia="ru-RU"/>
                    </w:rPr>
                    <w:t xml:space="preserve"> </w:t>
                  </w:r>
                  <w:proofErr w:type="gramStart"/>
                  <w:r w:rsidRPr="001024BB">
                    <w:rPr>
                      <w:rFonts w:ascii="Arial" w:eastAsia="Times New Roman" w:hAnsi="Arial" w:cs="Arial"/>
                      <w:color w:val="000000"/>
                      <w:spacing w:val="-4"/>
                      <w:sz w:val="17"/>
                      <w:szCs w:val="17"/>
                      <w:lang w:eastAsia="ru-RU"/>
                    </w:rPr>
                    <w:t>тому</w:t>
                  </w:r>
                  <w:proofErr w:type="gramEnd"/>
                  <w:r w:rsidRPr="001024BB">
                    <w:rPr>
                      <w:rFonts w:ascii="Arial" w:eastAsia="Times New Roman" w:hAnsi="Arial" w:cs="Arial"/>
                      <w:color w:val="000000"/>
                      <w:spacing w:val="-4"/>
                      <w:sz w:val="17"/>
                      <w:szCs w:val="17"/>
                      <w:lang w:eastAsia="ru-RU"/>
                    </w:rPr>
                    <w:t xml:space="preserve"> числі вокзали всіх видів транспорту, гаражі, автостоянки, автозаправочні станції)</w:t>
                  </w:r>
                </w:p>
              </w:tc>
              <w:tc>
                <w:tcPr>
                  <w:tcW w:w="1304" w:type="dxa"/>
                  <w:tcBorders>
                    <w:top w:val="single" w:sz="8" w:space="0" w:color="auto"/>
                    <w:left w:val="nil"/>
                    <w:bottom w:val="nil"/>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2,89</w:t>
                  </w:r>
                </w:p>
              </w:tc>
            </w:tr>
            <w:tr w:rsidR="001024BB" w:rsidRPr="001024BB">
              <w:trPr>
                <w:jc w:val="center"/>
              </w:trPr>
              <w:tc>
                <w:tcPr>
                  <w:tcW w:w="3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lastRenderedPageBreak/>
                    <w:t>12</w:t>
                  </w:r>
                </w:p>
              </w:tc>
              <w:tc>
                <w:tcPr>
                  <w:tcW w:w="510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7"/>
                      <w:szCs w:val="17"/>
                      <w:lang w:eastAsia="ru-RU"/>
                    </w:rPr>
                    <w:t>Будинки зв’язку (у тому числі відділення зв’язку, раді</w:t>
                  </w:r>
                  <w:proofErr w:type="gramStart"/>
                  <w:r w:rsidRPr="001024BB">
                    <w:rPr>
                      <w:rFonts w:ascii="Arial" w:eastAsia="Times New Roman" w:hAnsi="Arial" w:cs="Arial"/>
                      <w:color w:val="000000"/>
                      <w:spacing w:val="4"/>
                      <w:sz w:val="17"/>
                      <w:szCs w:val="17"/>
                      <w:lang w:eastAsia="ru-RU"/>
                    </w:rPr>
                    <w:t>о-</w:t>
                  </w:r>
                  <w:proofErr w:type="gramEnd"/>
                  <w:r w:rsidRPr="001024BB">
                    <w:rPr>
                      <w:rFonts w:ascii="Arial" w:eastAsia="Times New Roman" w:hAnsi="Arial" w:cs="Arial"/>
                      <w:color w:val="000000"/>
                      <w:spacing w:val="4"/>
                      <w:sz w:val="17"/>
                      <w:szCs w:val="17"/>
                      <w:lang w:eastAsia="ru-RU"/>
                    </w:rPr>
                    <w:t xml:space="preserve"> та</w:t>
                  </w:r>
                  <w:r w:rsidRPr="001024BB">
                    <w:rPr>
                      <w:rFonts w:ascii="Arial" w:eastAsia="Times New Roman" w:hAnsi="Arial" w:cs="Arial"/>
                      <w:color w:val="000000"/>
                      <w:sz w:val="17"/>
                      <w:szCs w:val="17"/>
                      <w:lang w:eastAsia="ru-RU"/>
                    </w:rPr>
                    <w:t xml:space="preserve"> телецентри, телеграфи, поштамти)</w:t>
                  </w:r>
                </w:p>
              </w:tc>
              <w:tc>
                <w:tcPr>
                  <w:tcW w:w="130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2,87</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13</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Будинки комунального господарства та побутового обслуговування, будинки торгі</w:t>
                  </w:r>
                  <w:proofErr w:type="gramStart"/>
                  <w:r w:rsidRPr="001024BB">
                    <w:rPr>
                      <w:rFonts w:ascii="Arial" w:eastAsia="Times New Roman" w:hAnsi="Arial" w:cs="Arial"/>
                      <w:color w:val="000000"/>
                      <w:sz w:val="17"/>
                      <w:szCs w:val="17"/>
                      <w:lang w:eastAsia="ru-RU"/>
                    </w:rPr>
                    <w:t>вл</w:t>
                  </w:r>
                  <w:proofErr w:type="gramEnd"/>
                  <w:r w:rsidRPr="001024BB">
                    <w:rPr>
                      <w:rFonts w:ascii="Arial" w:eastAsia="Times New Roman" w:hAnsi="Arial" w:cs="Arial"/>
                      <w:color w:val="000000"/>
                      <w:sz w:val="17"/>
                      <w:szCs w:val="17"/>
                      <w:lang w:eastAsia="ru-RU"/>
                    </w:rPr>
                    <w:t>і (у тому числі лазні, пральні, будинки побуту, перукарні, їдальні, магазини)</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2,99</w:t>
                  </w:r>
                </w:p>
              </w:tc>
            </w:tr>
            <w:tr w:rsidR="001024BB" w:rsidRPr="001024BB">
              <w:trPr>
                <w:jc w:val="center"/>
              </w:trPr>
              <w:tc>
                <w:tcPr>
                  <w:tcW w:w="340" w:type="dxa"/>
                  <w:tcBorders>
                    <w:top w:val="nil"/>
                    <w:left w:val="single" w:sz="8" w:space="0" w:color="auto"/>
                    <w:bottom w:val="nil"/>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14</w:t>
                  </w:r>
                </w:p>
              </w:tc>
              <w:tc>
                <w:tcPr>
                  <w:tcW w:w="5103" w:type="dxa"/>
                  <w:tcBorders>
                    <w:top w:val="nil"/>
                    <w:left w:val="nil"/>
                    <w:bottom w:val="nil"/>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7"/>
                      <w:szCs w:val="17"/>
                      <w:lang w:eastAsia="ru-RU"/>
                    </w:rPr>
                    <w:t>Дороги, благоустрій, озеленення, об’єкти інженерної інфраструктури</w:t>
                  </w:r>
                  <w:r w:rsidRPr="001024BB">
                    <w:rPr>
                      <w:rFonts w:ascii="Arial" w:eastAsia="Times New Roman" w:hAnsi="Arial" w:cs="Arial"/>
                      <w:color w:val="000000"/>
                      <w:sz w:val="17"/>
                      <w:szCs w:val="17"/>
                      <w:lang w:eastAsia="ru-RU"/>
                    </w:rPr>
                    <w:t xml:space="preserve"> (інженерні мережі та споруди):</w:t>
                  </w:r>
                </w:p>
              </w:tc>
              <w:tc>
                <w:tcPr>
                  <w:tcW w:w="1304" w:type="dxa"/>
                  <w:tcBorders>
                    <w:top w:val="nil"/>
                    <w:left w:val="nil"/>
                    <w:bottom w:val="nil"/>
                    <w:right w:val="single" w:sz="8" w:space="0" w:color="auto"/>
                  </w:tcBorders>
                  <w:tcMar>
                    <w:top w:w="0" w:type="dxa"/>
                    <w:left w:w="28" w:type="dxa"/>
                    <w:bottom w:w="0" w:type="dxa"/>
                    <w:right w:w="28" w:type="dxa"/>
                  </w:tcMar>
                  <w:vAlign w:val="bottom"/>
                  <w:hideMark/>
                </w:tcPr>
                <w:p w:rsidR="001024BB" w:rsidRPr="001024BB" w:rsidRDefault="001024BB" w:rsidP="001024BB">
                  <w:pPr>
                    <w:spacing w:after="0" w:line="240" w:lineRule="auto"/>
                    <w:rPr>
                      <w:rFonts w:ascii="Verdana" w:eastAsia="Times New Roman" w:hAnsi="Verdana" w:cs="Times New Roman"/>
                      <w:color w:val="000000"/>
                      <w:sz w:val="17"/>
                      <w:szCs w:val="17"/>
                      <w:lang w:eastAsia="ru-RU"/>
                    </w:rPr>
                  </w:pPr>
                </w:p>
              </w:tc>
            </w:tr>
            <w:tr w:rsidR="001024BB" w:rsidRPr="001024BB">
              <w:trPr>
                <w:jc w:val="center"/>
              </w:trPr>
              <w:tc>
                <w:tcPr>
                  <w:tcW w:w="340" w:type="dxa"/>
                  <w:tcBorders>
                    <w:top w:val="nil"/>
                    <w:left w:val="single" w:sz="8" w:space="0" w:color="auto"/>
                    <w:bottom w:val="nil"/>
                    <w:right w:val="single" w:sz="8" w:space="0" w:color="auto"/>
                  </w:tcBorders>
                  <w:tcMar>
                    <w:top w:w="0" w:type="dxa"/>
                    <w:left w:w="28" w:type="dxa"/>
                    <w:bottom w:w="0" w:type="dxa"/>
                    <w:right w:w="28" w:type="dxa"/>
                  </w:tcMar>
                  <w:hideMark/>
                </w:tcPr>
                <w:p w:rsidR="001024BB" w:rsidRPr="001024BB" w:rsidRDefault="001024BB" w:rsidP="001024BB">
                  <w:pPr>
                    <w:spacing w:after="0" w:line="240" w:lineRule="auto"/>
                    <w:rPr>
                      <w:rFonts w:ascii="Verdana" w:eastAsia="Times New Roman" w:hAnsi="Verdana" w:cs="Times New Roman"/>
                      <w:color w:val="000000"/>
                      <w:sz w:val="17"/>
                      <w:szCs w:val="17"/>
                      <w:lang w:eastAsia="ru-RU"/>
                    </w:rPr>
                  </w:pPr>
                </w:p>
              </w:tc>
              <w:tc>
                <w:tcPr>
                  <w:tcW w:w="5103" w:type="dxa"/>
                  <w:tcBorders>
                    <w:top w:val="nil"/>
                    <w:left w:val="nil"/>
                    <w:bottom w:val="dotted"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ind w:left="227"/>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 xml:space="preserve">в </w:t>
                  </w:r>
                  <w:proofErr w:type="gramStart"/>
                  <w:r w:rsidRPr="001024BB">
                    <w:rPr>
                      <w:rFonts w:ascii="Arial" w:eastAsia="Times New Roman" w:hAnsi="Arial" w:cs="Arial"/>
                      <w:color w:val="000000"/>
                      <w:sz w:val="17"/>
                      <w:szCs w:val="17"/>
                      <w:lang w:eastAsia="ru-RU"/>
                    </w:rPr>
                    <w:t>м</w:t>
                  </w:r>
                  <w:proofErr w:type="gramEnd"/>
                  <w:r w:rsidRPr="001024BB">
                    <w:rPr>
                      <w:rFonts w:ascii="Arial" w:eastAsia="Times New Roman" w:hAnsi="Arial" w:cs="Arial"/>
                      <w:color w:val="000000"/>
                      <w:sz w:val="17"/>
                      <w:szCs w:val="17"/>
                      <w:lang w:eastAsia="ru-RU"/>
                    </w:rPr>
                    <w:t>іській зоні</w:t>
                  </w:r>
                </w:p>
              </w:tc>
              <w:tc>
                <w:tcPr>
                  <w:tcW w:w="1304" w:type="dxa"/>
                  <w:tcBorders>
                    <w:top w:val="nil"/>
                    <w:left w:val="nil"/>
                    <w:bottom w:val="dotted"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2,84</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after="0" w:line="240" w:lineRule="auto"/>
                    <w:rPr>
                      <w:rFonts w:ascii="Verdana" w:eastAsia="Times New Roman" w:hAnsi="Verdana" w:cs="Times New Roman"/>
                      <w:color w:val="000000"/>
                      <w:sz w:val="17"/>
                      <w:szCs w:val="17"/>
                      <w:lang w:eastAsia="ru-RU"/>
                    </w:rPr>
                  </w:pP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ind w:left="227"/>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в сільській місцевості</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3,77</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15</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 xml:space="preserve">Ремонт житла, об’єктів </w:t>
                  </w:r>
                  <w:proofErr w:type="gramStart"/>
                  <w:r w:rsidRPr="001024BB">
                    <w:rPr>
                      <w:rFonts w:ascii="Arial" w:eastAsia="Times New Roman" w:hAnsi="Arial" w:cs="Arial"/>
                      <w:color w:val="000000"/>
                      <w:sz w:val="17"/>
                      <w:szCs w:val="17"/>
                      <w:lang w:eastAsia="ru-RU"/>
                    </w:rPr>
                    <w:t>соц</w:t>
                  </w:r>
                  <w:proofErr w:type="gramEnd"/>
                  <w:r w:rsidRPr="001024BB">
                    <w:rPr>
                      <w:rFonts w:ascii="Arial" w:eastAsia="Times New Roman" w:hAnsi="Arial" w:cs="Arial"/>
                      <w:color w:val="000000"/>
                      <w:sz w:val="17"/>
                      <w:szCs w:val="17"/>
                      <w:lang w:eastAsia="ru-RU"/>
                    </w:rPr>
                    <w:t>іальної сфери, комунального призначення та благоустрою</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2,71</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16</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7"/>
                      <w:szCs w:val="17"/>
                      <w:lang w:eastAsia="ru-RU"/>
                    </w:rPr>
                    <w:t xml:space="preserve">Монтаж </w:t>
                  </w:r>
                  <w:r w:rsidRPr="001024BB">
                    <w:rPr>
                      <w:rFonts w:ascii="Arial" w:eastAsia="Times New Roman" w:hAnsi="Arial" w:cs="Arial"/>
                      <w:color w:val="000000"/>
                      <w:sz w:val="17"/>
                      <w:szCs w:val="17"/>
                      <w:lang w:eastAsia="ru-RU"/>
                    </w:rPr>
                    <w:t>технологічних трубопроводі</w:t>
                  </w:r>
                  <w:proofErr w:type="gramStart"/>
                  <w:r w:rsidRPr="001024BB">
                    <w:rPr>
                      <w:rFonts w:ascii="Arial" w:eastAsia="Times New Roman" w:hAnsi="Arial" w:cs="Arial"/>
                      <w:color w:val="000000"/>
                      <w:sz w:val="17"/>
                      <w:szCs w:val="17"/>
                      <w:lang w:eastAsia="ru-RU"/>
                    </w:rPr>
                    <w:t>в</w:t>
                  </w:r>
                  <w:proofErr w:type="gramEnd"/>
                  <w:r w:rsidRPr="001024BB">
                    <w:rPr>
                      <w:rFonts w:ascii="Arial" w:eastAsia="Times New Roman" w:hAnsi="Arial" w:cs="Arial"/>
                      <w:color w:val="000000"/>
                      <w:spacing w:val="-4"/>
                      <w:sz w:val="17"/>
                      <w:szCs w:val="17"/>
                      <w:lang w:eastAsia="ru-RU"/>
                    </w:rPr>
                    <w:t xml:space="preserve"> та технологічного устаткування</w:t>
                  </w:r>
                  <w:r w:rsidRPr="001024BB">
                    <w:rPr>
                      <w:rFonts w:ascii="Arial" w:eastAsia="Times New Roman" w:hAnsi="Arial" w:cs="Arial"/>
                      <w:color w:val="000000"/>
                      <w:sz w:val="17"/>
                      <w:szCs w:val="17"/>
                      <w:lang w:eastAsia="ru-RU"/>
                    </w:rPr>
                    <w:t xml:space="preserve"> </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2,50</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17</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Пусконалагоджувальні роботи</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0,82</w:t>
                  </w:r>
                </w:p>
              </w:tc>
            </w:tr>
            <w:tr w:rsidR="001024BB" w:rsidRPr="001024BB">
              <w:trPr>
                <w:jc w:val="center"/>
              </w:trPr>
              <w:tc>
                <w:tcPr>
                  <w:tcW w:w="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 xml:space="preserve">18 </w:t>
                  </w:r>
                </w:p>
              </w:tc>
              <w:tc>
                <w:tcPr>
                  <w:tcW w:w="510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Інші об’єкти</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7"/>
                      <w:szCs w:val="17"/>
                      <w:lang w:eastAsia="ru-RU"/>
                    </w:rPr>
                    <w:t>2,92</w:t>
                  </w:r>
                </w:p>
              </w:tc>
            </w:tr>
          </w:tbl>
          <w:p w:rsidR="001024BB" w:rsidRPr="001024BB" w:rsidRDefault="001024BB" w:rsidP="001024BB">
            <w:pPr>
              <w:spacing w:before="100" w:beforeAutospacing="1" w:after="100" w:afterAutospacing="1" w:line="240" w:lineRule="auto"/>
              <w:ind w:left="284" w:firstLine="119"/>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t xml:space="preserve">Начальник Управління ціноутворення, </w:t>
            </w:r>
          </w:p>
          <w:p w:rsidR="001024BB" w:rsidRPr="001024BB" w:rsidRDefault="001024BB" w:rsidP="001024BB">
            <w:pPr>
              <w:spacing w:before="100" w:beforeAutospacing="1" w:after="100" w:afterAutospacing="1" w:line="240" w:lineRule="auto"/>
              <w:ind w:left="284" w:firstLine="119"/>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t>експертизи та контролю вартості</w:t>
            </w:r>
          </w:p>
          <w:p w:rsidR="001024BB" w:rsidRPr="001024BB" w:rsidRDefault="001024BB" w:rsidP="001024BB">
            <w:pPr>
              <w:spacing w:before="100" w:beforeAutospacing="1" w:after="100" w:afterAutospacing="1" w:line="240" w:lineRule="auto"/>
              <w:ind w:left="284" w:firstLine="119"/>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t>у будівництві П.І.Губень</w:t>
            </w:r>
          </w:p>
          <w:p w:rsidR="001024BB" w:rsidRPr="001024BB" w:rsidRDefault="001024BB" w:rsidP="001024BB">
            <w:pPr>
              <w:spacing w:after="0" w:line="240" w:lineRule="auto"/>
              <w:ind w:left="3969"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20"/>
                <w:szCs w:val="20"/>
                <w:lang w:eastAsia="ru-RU"/>
              </w:rPr>
              <w:t>Додаток 13</w:t>
            </w:r>
          </w:p>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color w:val="000000"/>
                <w:sz w:val="17"/>
                <w:szCs w:val="17"/>
                <w:lang w:eastAsia="ru-RU"/>
              </w:rPr>
              <w:t>Довідковий</w:t>
            </w:r>
          </w:p>
          <w:p w:rsidR="001024BB" w:rsidRPr="001024BB" w:rsidRDefault="001024BB" w:rsidP="001024BB">
            <w:pPr>
              <w:spacing w:after="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b/>
                <w:bCs/>
                <w:color w:val="000000"/>
                <w:sz w:val="19"/>
                <w:szCs w:val="19"/>
                <w:lang w:eastAsia="ru-RU"/>
              </w:rPr>
              <w:t xml:space="preserve">Усереднені показники для визначення в інвесторській кошторисній </w:t>
            </w:r>
          </w:p>
          <w:p w:rsidR="001024BB" w:rsidRPr="001024BB" w:rsidRDefault="001024BB" w:rsidP="001024BB">
            <w:pPr>
              <w:spacing w:after="120" w:line="240" w:lineRule="auto"/>
              <w:ind w:firstLine="150"/>
              <w:jc w:val="both"/>
              <w:rPr>
                <w:rFonts w:ascii="Verdana" w:eastAsia="Times New Roman" w:hAnsi="Verdana" w:cs="Times New Roman"/>
                <w:color w:val="000000"/>
                <w:sz w:val="17"/>
                <w:szCs w:val="17"/>
                <w:lang w:eastAsia="ru-RU"/>
              </w:rPr>
            </w:pPr>
            <w:r w:rsidRPr="001024BB">
              <w:rPr>
                <w:rFonts w:ascii="Verdana" w:eastAsia="Times New Roman" w:hAnsi="Verdana" w:cs="Times New Roman"/>
                <w:b/>
                <w:bCs/>
                <w:color w:val="000000"/>
                <w:spacing w:val="-4"/>
                <w:sz w:val="19"/>
                <w:szCs w:val="19"/>
                <w:lang w:eastAsia="ru-RU"/>
              </w:rPr>
              <w:t xml:space="preserve">документації розміру </w:t>
            </w:r>
            <w:proofErr w:type="gramStart"/>
            <w:r w:rsidRPr="001024BB">
              <w:rPr>
                <w:rFonts w:ascii="Verdana" w:eastAsia="Times New Roman" w:hAnsi="Verdana" w:cs="Times New Roman"/>
                <w:b/>
                <w:bCs/>
                <w:color w:val="000000"/>
                <w:spacing w:val="-4"/>
                <w:sz w:val="19"/>
                <w:szCs w:val="19"/>
                <w:lang w:eastAsia="ru-RU"/>
              </w:rPr>
              <w:t>адм</w:t>
            </w:r>
            <w:proofErr w:type="gramEnd"/>
            <w:r w:rsidRPr="001024BB">
              <w:rPr>
                <w:rFonts w:ascii="Verdana" w:eastAsia="Times New Roman" w:hAnsi="Verdana" w:cs="Times New Roman"/>
                <w:b/>
                <w:bCs/>
                <w:color w:val="000000"/>
                <w:spacing w:val="-4"/>
                <w:sz w:val="19"/>
                <w:szCs w:val="19"/>
                <w:lang w:eastAsia="ru-RU"/>
              </w:rPr>
              <w:t>іністративних витрат</w:t>
            </w:r>
            <w:r w:rsidRPr="001024BB">
              <w:rPr>
                <w:rFonts w:ascii="Verdana" w:eastAsia="Times New Roman" w:hAnsi="Verdana" w:cs="Times New Roman"/>
                <w:b/>
                <w:bCs/>
                <w:color w:val="000000"/>
                <w:sz w:val="19"/>
                <w:szCs w:val="19"/>
                <w:lang w:eastAsia="ru-RU"/>
              </w:rPr>
              <w:t xml:space="preserve"> </w:t>
            </w:r>
            <w:r w:rsidRPr="001024BB">
              <w:rPr>
                <w:rFonts w:ascii="Verdana" w:eastAsia="Times New Roman" w:hAnsi="Verdana" w:cs="Times New Roman"/>
                <w:b/>
                <w:bCs/>
                <w:color w:val="000000"/>
                <w:sz w:val="19"/>
                <w:szCs w:val="19"/>
                <w:lang w:eastAsia="ru-RU"/>
              </w:rPr>
              <w:br/>
              <w:t xml:space="preserve">будівельно-монтажних організацій в розрахунку на 1 люд.-год. </w:t>
            </w:r>
            <w:r w:rsidRPr="001024BB">
              <w:rPr>
                <w:rFonts w:ascii="Verdana" w:eastAsia="Times New Roman" w:hAnsi="Verdana" w:cs="Times New Roman"/>
                <w:b/>
                <w:bCs/>
                <w:color w:val="000000"/>
                <w:sz w:val="19"/>
                <w:szCs w:val="19"/>
                <w:lang w:eastAsia="ru-RU"/>
              </w:rPr>
              <w:br/>
              <w:t>загальної кошторисної трудомісткості будівельно-монтажних робіт</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
              <w:gridCol w:w="5046"/>
              <w:gridCol w:w="1409"/>
            </w:tblGrid>
            <w:tr w:rsidR="001024BB" w:rsidRPr="001024BB">
              <w:trPr>
                <w:jc w:val="center"/>
              </w:trPr>
              <w:tc>
                <w:tcPr>
                  <w:tcW w:w="3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 xml:space="preserve">№ </w:t>
                  </w:r>
                  <w:proofErr w:type="gramStart"/>
                  <w:r w:rsidRPr="001024BB">
                    <w:rPr>
                      <w:rFonts w:ascii="Arial" w:eastAsia="Times New Roman" w:hAnsi="Arial" w:cs="Arial"/>
                      <w:color w:val="000000"/>
                      <w:sz w:val="18"/>
                      <w:szCs w:val="18"/>
                      <w:lang w:eastAsia="ru-RU"/>
                    </w:rPr>
                    <w:t>п</w:t>
                  </w:r>
                  <w:proofErr w:type="gramEnd"/>
                  <w:r w:rsidRPr="001024BB">
                    <w:rPr>
                      <w:rFonts w:ascii="Arial" w:eastAsia="Times New Roman" w:hAnsi="Arial" w:cs="Arial"/>
                      <w:color w:val="000000"/>
                      <w:sz w:val="18"/>
                      <w:szCs w:val="18"/>
                      <w:lang w:eastAsia="ru-RU"/>
                    </w:rPr>
                    <w:t>/п</w:t>
                  </w:r>
                </w:p>
              </w:tc>
              <w:tc>
                <w:tcPr>
                  <w:tcW w:w="504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Види будівництва</w:t>
                  </w:r>
                </w:p>
              </w:tc>
              <w:tc>
                <w:tcPr>
                  <w:tcW w:w="130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24BB" w:rsidRPr="001024BB" w:rsidRDefault="001024BB" w:rsidP="001024BB">
                  <w:pPr>
                    <w:spacing w:after="0" w:line="240" w:lineRule="auto"/>
                    <w:jc w:val="center"/>
                    <w:rPr>
                      <w:rFonts w:ascii="Verdana" w:eastAsia="Times New Roman" w:hAnsi="Verdana" w:cs="Times New Roman"/>
                      <w:color w:val="000000"/>
                      <w:sz w:val="17"/>
                      <w:szCs w:val="17"/>
                      <w:lang w:eastAsia="ru-RU"/>
                    </w:rPr>
                  </w:pPr>
                  <w:r w:rsidRPr="001024BB">
                    <w:rPr>
                      <w:rFonts w:ascii="Arial" w:eastAsia="Times New Roman" w:hAnsi="Arial" w:cs="Arial"/>
                      <w:color w:val="000000"/>
                      <w:sz w:val="16"/>
                      <w:szCs w:val="16"/>
                      <w:lang w:eastAsia="ru-RU"/>
                    </w:rPr>
                    <w:t xml:space="preserve">Усереднені </w:t>
                  </w:r>
                  <w:r w:rsidRPr="001024BB">
                    <w:rPr>
                      <w:rFonts w:ascii="Arial" w:eastAsia="Times New Roman" w:hAnsi="Arial" w:cs="Arial"/>
                      <w:color w:val="000000"/>
                      <w:sz w:val="16"/>
                      <w:szCs w:val="16"/>
                      <w:lang w:eastAsia="ru-RU"/>
                    </w:rPr>
                    <w:br/>
                    <w:t xml:space="preserve">показники для визначення </w:t>
                  </w:r>
                  <w:r w:rsidRPr="001024BB">
                    <w:rPr>
                      <w:rFonts w:ascii="Arial" w:eastAsia="Times New Roman" w:hAnsi="Arial" w:cs="Arial"/>
                      <w:color w:val="000000"/>
                      <w:spacing w:val="4"/>
                      <w:sz w:val="16"/>
                      <w:szCs w:val="16"/>
                      <w:lang w:eastAsia="ru-RU"/>
                    </w:rPr>
                    <w:t xml:space="preserve">розміру </w:t>
                  </w:r>
                  <w:proofErr w:type="gramStart"/>
                  <w:r w:rsidRPr="001024BB">
                    <w:rPr>
                      <w:rFonts w:ascii="Arial" w:eastAsia="Times New Roman" w:hAnsi="Arial" w:cs="Arial"/>
                      <w:color w:val="000000"/>
                      <w:spacing w:val="4"/>
                      <w:sz w:val="16"/>
                      <w:szCs w:val="16"/>
                      <w:lang w:eastAsia="ru-RU"/>
                    </w:rPr>
                    <w:t>адм</w:t>
                  </w:r>
                  <w:proofErr w:type="gramEnd"/>
                  <w:r w:rsidRPr="001024BB">
                    <w:rPr>
                      <w:rFonts w:ascii="Arial" w:eastAsia="Times New Roman" w:hAnsi="Arial" w:cs="Arial"/>
                      <w:color w:val="000000"/>
                      <w:spacing w:val="4"/>
                      <w:sz w:val="16"/>
                      <w:szCs w:val="16"/>
                      <w:lang w:eastAsia="ru-RU"/>
                    </w:rPr>
                    <w:t>іністративних</w:t>
                  </w:r>
                  <w:r w:rsidRPr="001024BB">
                    <w:rPr>
                      <w:rFonts w:ascii="Arial" w:eastAsia="Times New Roman" w:hAnsi="Arial" w:cs="Arial"/>
                      <w:color w:val="000000"/>
                      <w:sz w:val="16"/>
                      <w:szCs w:val="16"/>
                      <w:lang w:eastAsia="ru-RU"/>
                    </w:rPr>
                    <w:t xml:space="preserve"> </w:t>
                  </w:r>
                  <w:r w:rsidRPr="001024BB">
                    <w:rPr>
                      <w:rFonts w:ascii="Arial" w:eastAsia="Times New Roman" w:hAnsi="Arial" w:cs="Arial"/>
                      <w:color w:val="000000"/>
                      <w:sz w:val="16"/>
                      <w:szCs w:val="16"/>
                      <w:lang w:eastAsia="ru-RU"/>
                    </w:rPr>
                    <w:br/>
                  </w:r>
                  <w:r w:rsidRPr="001024BB">
                    <w:rPr>
                      <w:rFonts w:ascii="Arial" w:eastAsia="Times New Roman" w:hAnsi="Arial" w:cs="Arial"/>
                      <w:color w:val="000000"/>
                      <w:spacing w:val="-4"/>
                      <w:sz w:val="16"/>
                      <w:szCs w:val="16"/>
                      <w:lang w:eastAsia="ru-RU"/>
                    </w:rPr>
                    <w:t>витрат будівельно</w:t>
                  </w:r>
                  <w:r w:rsidRPr="001024BB">
                    <w:rPr>
                      <w:rFonts w:ascii="Arial" w:eastAsia="Times New Roman" w:hAnsi="Arial" w:cs="Arial"/>
                      <w:color w:val="000000"/>
                      <w:sz w:val="16"/>
                      <w:szCs w:val="16"/>
                      <w:lang w:eastAsia="ru-RU"/>
                    </w:rPr>
                    <w:t xml:space="preserve">-монтажних </w:t>
                  </w:r>
                  <w:r w:rsidRPr="001024BB">
                    <w:rPr>
                      <w:rFonts w:ascii="Arial" w:eastAsia="Times New Roman" w:hAnsi="Arial" w:cs="Arial"/>
                      <w:color w:val="000000"/>
                      <w:sz w:val="16"/>
                      <w:szCs w:val="16"/>
                      <w:lang w:eastAsia="ru-RU"/>
                    </w:rPr>
                    <w:br/>
                    <w:t>організацій,</w:t>
                  </w:r>
                </w:p>
                <w:p w:rsidR="001024BB" w:rsidRPr="001024BB" w:rsidRDefault="001024BB" w:rsidP="001024BB">
                  <w:pPr>
                    <w:spacing w:before="40" w:after="4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6"/>
                      <w:szCs w:val="16"/>
                      <w:lang w:eastAsia="ru-RU"/>
                    </w:rPr>
                    <w:t>грн./люд</w:t>
                  </w:r>
                  <w:proofErr w:type="gramStart"/>
                  <w:r w:rsidRPr="001024BB">
                    <w:rPr>
                      <w:rFonts w:ascii="Arial" w:eastAsia="Times New Roman" w:hAnsi="Arial" w:cs="Arial"/>
                      <w:color w:val="000000"/>
                      <w:sz w:val="16"/>
                      <w:szCs w:val="16"/>
                      <w:lang w:eastAsia="ru-RU"/>
                    </w:rPr>
                    <w:t>.-</w:t>
                  </w:r>
                  <w:proofErr w:type="gramEnd"/>
                  <w:r w:rsidRPr="001024BB">
                    <w:rPr>
                      <w:rFonts w:ascii="Arial" w:eastAsia="Times New Roman" w:hAnsi="Arial" w:cs="Arial"/>
                      <w:color w:val="000000"/>
                      <w:sz w:val="16"/>
                      <w:szCs w:val="16"/>
                      <w:lang w:eastAsia="ru-RU"/>
                    </w:rPr>
                    <w:t>год.</w:t>
                  </w:r>
                </w:p>
              </w:tc>
            </w:tr>
            <w:tr w:rsidR="001024BB" w:rsidRPr="001024BB">
              <w:trPr>
                <w:jc w:val="center"/>
              </w:trPr>
              <w:tc>
                <w:tcPr>
                  <w:tcW w:w="3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80" w:after="8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w:t>
                  </w:r>
                </w:p>
              </w:tc>
              <w:tc>
                <w:tcPr>
                  <w:tcW w:w="5046" w:type="dxa"/>
                  <w:tcBorders>
                    <w:top w:val="nil"/>
                    <w:left w:val="nil"/>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60" w:after="6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color w:val="000000"/>
                      <w:spacing w:val="-4"/>
                      <w:sz w:val="18"/>
                      <w:szCs w:val="18"/>
                      <w:lang w:eastAsia="ru-RU"/>
                    </w:rPr>
                    <w:t>Особливо складні</w:t>
                  </w:r>
                  <w:r w:rsidRPr="001024BB">
                    <w:rPr>
                      <w:rFonts w:ascii="Arial" w:eastAsia="Times New Roman" w:hAnsi="Arial" w:cs="Arial"/>
                      <w:color w:val="000000"/>
                      <w:spacing w:val="-4"/>
                      <w:sz w:val="18"/>
                      <w:szCs w:val="18"/>
                      <w:lang w:eastAsia="ru-RU"/>
                    </w:rPr>
                    <w:t xml:space="preserve"> інженерні споруди (у тому числі ГЕС, </w:t>
                  </w:r>
                  <w:r w:rsidRPr="001024BB">
                    <w:rPr>
                      <w:rFonts w:ascii="Arial" w:eastAsia="Times New Roman" w:hAnsi="Arial" w:cs="Arial"/>
                      <w:color w:val="000000"/>
                      <w:sz w:val="18"/>
                      <w:szCs w:val="18"/>
                      <w:lang w:eastAsia="ru-RU"/>
                    </w:rPr>
                    <w:t>ядерні установки та об’єкти призначені для поводження з радіоактивними відходами</w:t>
                  </w:r>
                  <w:r w:rsidRPr="001024BB">
                    <w:rPr>
                      <w:rFonts w:ascii="Arial" w:eastAsia="Times New Roman" w:hAnsi="Arial" w:cs="Arial"/>
                      <w:color w:val="000000"/>
                      <w:spacing w:val="-4"/>
                      <w:sz w:val="18"/>
                      <w:szCs w:val="18"/>
                      <w:lang w:eastAsia="ru-RU"/>
                    </w:rPr>
                    <w:t xml:space="preserve">, шахти, метрополітени, тунелі, мости, аеродроми, гідротехнічні споруди тощо), </w:t>
                  </w:r>
                  <w:r w:rsidRPr="001024BB">
                    <w:rPr>
                      <w:rFonts w:ascii="Arial" w:eastAsia="Times New Roman" w:hAnsi="Arial" w:cs="Arial"/>
                      <w:b/>
                      <w:bCs/>
                      <w:color w:val="000000"/>
                      <w:spacing w:val="-4"/>
                      <w:sz w:val="18"/>
                      <w:szCs w:val="18"/>
                      <w:lang w:eastAsia="ru-RU"/>
                    </w:rPr>
                    <w:t xml:space="preserve">особливо складні </w:t>
                  </w:r>
                  <w:proofErr w:type="gramStart"/>
                  <w:r w:rsidRPr="001024BB">
                    <w:rPr>
                      <w:rFonts w:ascii="Arial" w:eastAsia="Times New Roman" w:hAnsi="Arial" w:cs="Arial"/>
                      <w:b/>
                      <w:bCs/>
                      <w:color w:val="000000"/>
                      <w:spacing w:val="-4"/>
                      <w:sz w:val="18"/>
                      <w:szCs w:val="18"/>
                      <w:lang w:eastAsia="ru-RU"/>
                    </w:rPr>
                    <w:t>техн</w:t>
                  </w:r>
                  <w:proofErr w:type="gramEnd"/>
                  <w:r w:rsidRPr="001024BB">
                    <w:rPr>
                      <w:rFonts w:ascii="Arial" w:eastAsia="Times New Roman" w:hAnsi="Arial" w:cs="Arial"/>
                      <w:b/>
                      <w:bCs/>
                      <w:color w:val="000000"/>
                      <w:spacing w:val="-4"/>
                      <w:sz w:val="18"/>
                      <w:szCs w:val="18"/>
                      <w:lang w:eastAsia="ru-RU"/>
                    </w:rPr>
                    <w:t xml:space="preserve">ічно або архітектурно </w:t>
                  </w:r>
                  <w:r w:rsidRPr="001024BB">
                    <w:rPr>
                      <w:rFonts w:ascii="Arial" w:eastAsia="Times New Roman" w:hAnsi="Arial" w:cs="Arial"/>
                      <w:color w:val="000000"/>
                      <w:spacing w:val="-4"/>
                      <w:sz w:val="18"/>
                      <w:szCs w:val="18"/>
                      <w:lang w:eastAsia="ru-RU"/>
                    </w:rPr>
                    <w:t xml:space="preserve">громадські будівлі та споруди, залізниці, магістральні автодороги, магістральні мережі (у тому числі магістральні трубопроводи і споруди газонафтопродуктів, </w:t>
                  </w:r>
                  <w:proofErr w:type="gramStart"/>
                  <w:r w:rsidRPr="001024BB">
                    <w:rPr>
                      <w:rFonts w:ascii="Arial" w:eastAsia="Times New Roman" w:hAnsi="Arial" w:cs="Arial"/>
                      <w:color w:val="000000"/>
                      <w:spacing w:val="-4"/>
                      <w:sz w:val="18"/>
                      <w:szCs w:val="18"/>
                      <w:lang w:eastAsia="ru-RU"/>
                    </w:rPr>
                    <w:t>м</w:t>
                  </w:r>
                  <w:proofErr w:type="gramEnd"/>
                  <w:r w:rsidRPr="001024BB">
                    <w:rPr>
                      <w:rFonts w:ascii="Arial" w:eastAsia="Times New Roman" w:hAnsi="Arial" w:cs="Arial"/>
                      <w:color w:val="000000"/>
                      <w:spacing w:val="-4"/>
                      <w:sz w:val="18"/>
                      <w:szCs w:val="18"/>
                      <w:lang w:eastAsia="ru-RU"/>
                    </w:rPr>
                    <w:t xml:space="preserve">іжміські лінії зв’язку, високовольтні мережі 35 кВ і вище), що обґрунтовується проектом </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1,79</w:t>
                  </w:r>
                </w:p>
              </w:tc>
            </w:tr>
            <w:tr w:rsidR="001024BB" w:rsidRPr="001024BB">
              <w:trPr>
                <w:jc w:val="center"/>
              </w:trPr>
              <w:tc>
                <w:tcPr>
                  <w:tcW w:w="3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80" w:after="8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2</w:t>
                  </w:r>
                </w:p>
              </w:tc>
              <w:tc>
                <w:tcPr>
                  <w:tcW w:w="5046" w:type="dxa"/>
                  <w:tcBorders>
                    <w:top w:val="nil"/>
                    <w:left w:val="nil"/>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60" w:after="6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 xml:space="preserve">Промислові </w:t>
                  </w:r>
                  <w:proofErr w:type="gramStart"/>
                  <w:r w:rsidRPr="001024BB">
                    <w:rPr>
                      <w:rFonts w:ascii="Arial" w:eastAsia="Times New Roman" w:hAnsi="Arial" w:cs="Arial"/>
                      <w:color w:val="000000"/>
                      <w:sz w:val="18"/>
                      <w:szCs w:val="18"/>
                      <w:lang w:eastAsia="ru-RU"/>
                    </w:rPr>
                    <w:t>п</w:t>
                  </w:r>
                  <w:proofErr w:type="gramEnd"/>
                  <w:r w:rsidRPr="001024BB">
                    <w:rPr>
                      <w:rFonts w:ascii="Arial" w:eastAsia="Times New Roman" w:hAnsi="Arial" w:cs="Arial"/>
                      <w:color w:val="000000"/>
                      <w:sz w:val="18"/>
                      <w:szCs w:val="18"/>
                      <w:lang w:eastAsia="ru-RU"/>
                    </w:rPr>
                    <w:t>ідприємства та об’єкти виробничого призначення</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1,52</w:t>
                  </w:r>
                </w:p>
              </w:tc>
            </w:tr>
            <w:tr w:rsidR="001024BB" w:rsidRPr="001024BB">
              <w:trPr>
                <w:jc w:val="center"/>
              </w:trPr>
              <w:tc>
                <w:tcPr>
                  <w:tcW w:w="3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80" w:after="8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3</w:t>
                  </w:r>
                </w:p>
              </w:tc>
              <w:tc>
                <w:tcPr>
                  <w:tcW w:w="5046" w:type="dxa"/>
                  <w:tcBorders>
                    <w:top w:val="nil"/>
                    <w:left w:val="nil"/>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60" w:after="6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Житлові будинки, громадські буді</w:t>
                  </w:r>
                  <w:proofErr w:type="gramStart"/>
                  <w:r w:rsidRPr="001024BB">
                    <w:rPr>
                      <w:rFonts w:ascii="Arial" w:eastAsia="Times New Roman" w:hAnsi="Arial" w:cs="Arial"/>
                      <w:color w:val="000000"/>
                      <w:sz w:val="18"/>
                      <w:szCs w:val="18"/>
                      <w:lang w:eastAsia="ru-RU"/>
                    </w:rPr>
                    <w:t>вл</w:t>
                  </w:r>
                  <w:proofErr w:type="gramEnd"/>
                  <w:r w:rsidRPr="001024BB">
                    <w:rPr>
                      <w:rFonts w:ascii="Arial" w:eastAsia="Times New Roman" w:hAnsi="Arial" w:cs="Arial"/>
                      <w:color w:val="000000"/>
                      <w:sz w:val="18"/>
                      <w:szCs w:val="18"/>
                      <w:lang w:eastAsia="ru-RU"/>
                    </w:rPr>
                    <w:t>і та споруди (</w:t>
                  </w:r>
                  <w:r w:rsidRPr="001024BB">
                    <w:rPr>
                      <w:rFonts w:ascii="Arial" w:eastAsia="Times New Roman" w:hAnsi="Arial" w:cs="Arial"/>
                      <w:b/>
                      <w:bCs/>
                      <w:color w:val="000000"/>
                      <w:sz w:val="18"/>
                      <w:szCs w:val="18"/>
                      <w:lang w:eastAsia="ru-RU"/>
                    </w:rPr>
                    <w:t>крім технічно або архітектурно особливо складних</w:t>
                  </w:r>
                  <w:r w:rsidRPr="001024BB">
                    <w:rPr>
                      <w:rFonts w:ascii="Arial" w:eastAsia="Times New Roman" w:hAnsi="Arial" w:cs="Arial"/>
                      <w:color w:val="000000"/>
                      <w:sz w:val="18"/>
                      <w:szCs w:val="18"/>
                      <w:lang w:eastAsia="ru-RU"/>
                    </w:rPr>
                    <w:t>)</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1,38</w:t>
                  </w:r>
                </w:p>
              </w:tc>
            </w:tr>
            <w:tr w:rsidR="001024BB" w:rsidRPr="001024BB">
              <w:trPr>
                <w:jc w:val="center"/>
              </w:trPr>
              <w:tc>
                <w:tcPr>
                  <w:tcW w:w="3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80" w:after="8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4</w:t>
                  </w:r>
                </w:p>
              </w:tc>
              <w:tc>
                <w:tcPr>
                  <w:tcW w:w="5046" w:type="dxa"/>
                  <w:tcBorders>
                    <w:top w:val="nil"/>
                    <w:left w:val="nil"/>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60" w:after="6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2"/>
                      <w:sz w:val="18"/>
                      <w:szCs w:val="18"/>
                      <w:lang w:eastAsia="ru-RU"/>
                    </w:rPr>
                    <w:t xml:space="preserve">Дороги, благоустрій, озеленення, об’єкти інженерної </w:t>
                  </w:r>
                  <w:r w:rsidRPr="001024BB">
                    <w:rPr>
                      <w:rFonts w:ascii="Arial" w:eastAsia="Times New Roman" w:hAnsi="Arial" w:cs="Arial"/>
                      <w:color w:val="000000"/>
                      <w:spacing w:val="4"/>
                      <w:sz w:val="18"/>
                      <w:szCs w:val="18"/>
                      <w:lang w:eastAsia="ru-RU"/>
                    </w:rPr>
                    <w:t>інфраструктури (інженерні мережі та споруди) в</w:t>
                  </w:r>
                  <w:r w:rsidRPr="001024BB">
                    <w:rPr>
                      <w:rFonts w:ascii="Arial" w:eastAsia="Times New Roman" w:hAnsi="Arial" w:cs="Arial"/>
                      <w:color w:val="000000"/>
                      <w:sz w:val="18"/>
                      <w:szCs w:val="18"/>
                      <w:lang w:eastAsia="ru-RU"/>
                    </w:rPr>
                    <w:t xml:space="preserve"> міській зоні та в сільській місцевості</w:t>
                  </w:r>
                  <w:r w:rsidRPr="001024BB">
                    <w:rPr>
                      <w:rFonts w:ascii="Arial" w:eastAsia="Times New Roman" w:hAnsi="Arial" w:cs="Arial"/>
                      <w:color w:val="000000"/>
                      <w:spacing w:val="4"/>
                      <w:sz w:val="18"/>
                      <w:szCs w:val="18"/>
                      <w:lang w:eastAsia="ru-RU"/>
                    </w:rPr>
                    <w:t>. Ремонт</w:t>
                  </w:r>
                  <w:r w:rsidRPr="001024BB">
                    <w:rPr>
                      <w:rFonts w:ascii="Arial" w:eastAsia="Times New Roman" w:hAnsi="Arial" w:cs="Arial"/>
                      <w:color w:val="000000"/>
                      <w:sz w:val="18"/>
                      <w:szCs w:val="18"/>
                      <w:lang w:eastAsia="ru-RU"/>
                    </w:rPr>
                    <w:t xml:space="preserve"> житла, об’єктів </w:t>
                  </w:r>
                  <w:proofErr w:type="gramStart"/>
                  <w:r w:rsidRPr="001024BB">
                    <w:rPr>
                      <w:rFonts w:ascii="Arial" w:eastAsia="Times New Roman" w:hAnsi="Arial" w:cs="Arial"/>
                      <w:color w:val="000000"/>
                      <w:sz w:val="18"/>
                      <w:szCs w:val="18"/>
                      <w:lang w:eastAsia="ru-RU"/>
                    </w:rPr>
                    <w:t>соц</w:t>
                  </w:r>
                  <w:proofErr w:type="gramEnd"/>
                  <w:r w:rsidRPr="001024BB">
                    <w:rPr>
                      <w:rFonts w:ascii="Arial" w:eastAsia="Times New Roman" w:hAnsi="Arial" w:cs="Arial"/>
                      <w:color w:val="000000"/>
                      <w:sz w:val="18"/>
                      <w:szCs w:val="18"/>
                      <w:lang w:eastAsia="ru-RU"/>
                    </w:rPr>
                    <w:t xml:space="preserve">іальної сфери, комунального призначення та благоустрою </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1,23</w:t>
                  </w:r>
                </w:p>
              </w:tc>
            </w:tr>
            <w:tr w:rsidR="001024BB" w:rsidRPr="001024BB">
              <w:trPr>
                <w:jc w:val="center"/>
              </w:trPr>
              <w:tc>
                <w:tcPr>
                  <w:tcW w:w="3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80" w:after="8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5</w:t>
                  </w:r>
                </w:p>
              </w:tc>
              <w:tc>
                <w:tcPr>
                  <w:tcW w:w="5046" w:type="dxa"/>
                  <w:tcBorders>
                    <w:top w:val="nil"/>
                    <w:left w:val="nil"/>
                    <w:bottom w:val="single" w:sz="8" w:space="0" w:color="auto"/>
                    <w:right w:val="single" w:sz="8" w:space="0" w:color="auto"/>
                  </w:tcBorders>
                  <w:tcMar>
                    <w:top w:w="0" w:type="dxa"/>
                    <w:left w:w="28" w:type="dxa"/>
                    <w:bottom w:w="0" w:type="dxa"/>
                    <w:right w:w="28" w:type="dxa"/>
                  </w:tcMar>
                  <w:hideMark/>
                </w:tcPr>
                <w:p w:rsidR="001024BB" w:rsidRPr="001024BB" w:rsidRDefault="001024BB" w:rsidP="001024BB">
                  <w:pPr>
                    <w:spacing w:before="60" w:after="6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Пусконалагоджувальні роботи</w:t>
                  </w:r>
                </w:p>
              </w:tc>
              <w:tc>
                <w:tcPr>
                  <w:tcW w:w="1304"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1,03</w:t>
                  </w:r>
                </w:p>
              </w:tc>
            </w:tr>
          </w:tbl>
          <w:p w:rsidR="001024BB" w:rsidRPr="001024BB" w:rsidRDefault="001024BB" w:rsidP="001024BB">
            <w:pPr>
              <w:spacing w:before="100" w:beforeAutospacing="1" w:after="100" w:afterAutospacing="1" w:line="240" w:lineRule="auto"/>
              <w:ind w:left="284" w:firstLine="119"/>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t xml:space="preserve">Начальник управління ціноутворення, </w:t>
            </w:r>
          </w:p>
          <w:p w:rsidR="001024BB" w:rsidRPr="001024BB" w:rsidRDefault="001024BB" w:rsidP="001024BB">
            <w:pPr>
              <w:spacing w:before="100" w:beforeAutospacing="1" w:after="100" w:afterAutospacing="1" w:line="240" w:lineRule="auto"/>
              <w:ind w:left="284" w:firstLine="119"/>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lastRenderedPageBreak/>
              <w:t>експертизи та контролю вартості</w:t>
            </w:r>
          </w:p>
          <w:p w:rsidR="001024BB" w:rsidRPr="001024BB" w:rsidRDefault="001024BB" w:rsidP="001024BB">
            <w:pPr>
              <w:spacing w:before="100" w:beforeAutospacing="1" w:after="100" w:afterAutospacing="1" w:line="240" w:lineRule="auto"/>
              <w:ind w:left="284" w:firstLine="119"/>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t>у будівництві П.І.Губень</w:t>
            </w:r>
          </w:p>
          <w:p w:rsidR="001024BB" w:rsidRPr="001024BB" w:rsidRDefault="001024BB" w:rsidP="001024BB">
            <w:pPr>
              <w:spacing w:before="100" w:beforeAutospacing="1" w:after="100" w:afterAutospacing="1" w:line="240" w:lineRule="auto"/>
              <w:ind w:left="3686" w:firstLine="150"/>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i/>
                <w:iCs/>
                <w:color w:val="000000"/>
                <w:sz w:val="20"/>
                <w:szCs w:val="20"/>
                <w:lang w:eastAsia="ru-RU"/>
              </w:rPr>
              <w:t>Додаток 14</w:t>
            </w:r>
          </w:p>
          <w:p w:rsidR="001024BB" w:rsidRPr="001024BB" w:rsidRDefault="001024BB" w:rsidP="001024BB">
            <w:pPr>
              <w:spacing w:after="120" w:line="240" w:lineRule="auto"/>
              <w:ind w:left="3686" w:firstLine="150"/>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i/>
                <w:iCs/>
                <w:color w:val="000000"/>
                <w:sz w:val="20"/>
                <w:szCs w:val="20"/>
                <w:lang w:eastAsia="ru-RU"/>
              </w:rPr>
              <w:t>Довідковий</w:t>
            </w:r>
          </w:p>
          <w:p w:rsidR="001024BB" w:rsidRPr="001024BB" w:rsidRDefault="001024BB" w:rsidP="001024BB">
            <w:pPr>
              <w:spacing w:after="60" w:line="240" w:lineRule="auto"/>
              <w:ind w:left="1304" w:right="57" w:hanging="1247"/>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20"/>
                <w:szCs w:val="20"/>
                <w:lang w:eastAsia="ru-RU"/>
              </w:rPr>
              <w:t>Таблиця 3 – Усереднені показники розміру кошті</w:t>
            </w:r>
            <w:proofErr w:type="gramStart"/>
            <w:r w:rsidRPr="001024BB">
              <w:rPr>
                <w:rFonts w:ascii="Arial" w:eastAsia="Times New Roman" w:hAnsi="Arial" w:cs="Arial"/>
                <w:color w:val="000000"/>
                <w:sz w:val="20"/>
                <w:szCs w:val="20"/>
                <w:lang w:eastAsia="ru-RU"/>
              </w:rPr>
              <w:t>в</w:t>
            </w:r>
            <w:proofErr w:type="gramEnd"/>
            <w:r w:rsidRPr="001024BB">
              <w:rPr>
                <w:rFonts w:ascii="Arial" w:eastAsia="Times New Roman" w:hAnsi="Arial" w:cs="Arial"/>
                <w:color w:val="000000"/>
                <w:sz w:val="20"/>
                <w:szCs w:val="20"/>
                <w:lang w:eastAsia="ru-RU"/>
              </w:rPr>
              <w:t xml:space="preserve"> на покриття ризику </w:t>
            </w:r>
            <w:r w:rsidRPr="001024BB">
              <w:rPr>
                <w:rFonts w:ascii="Arial" w:eastAsia="Times New Roman" w:hAnsi="Arial" w:cs="Arial"/>
                <w:color w:val="000000"/>
                <w:spacing w:val="-4"/>
                <w:sz w:val="20"/>
                <w:szCs w:val="20"/>
                <w:lang w:eastAsia="ru-RU"/>
              </w:rPr>
              <w:t>всіх учасників будівництва, які застосовуються у Зведеному</w:t>
            </w:r>
            <w:r w:rsidRPr="001024BB">
              <w:rPr>
                <w:rFonts w:ascii="Arial" w:eastAsia="Times New Roman" w:hAnsi="Arial" w:cs="Arial"/>
                <w:color w:val="000000"/>
                <w:sz w:val="20"/>
                <w:szCs w:val="20"/>
                <w:lang w:eastAsia="ru-RU"/>
              </w:rPr>
              <w:t xml:space="preserve"> кошторисному розрахунку вартості будівництва при одностадійному проектуванні</w:t>
            </w:r>
          </w:p>
          <w:tbl>
            <w:tblPr>
              <w:tblW w:w="0" w:type="auto"/>
              <w:jc w:val="center"/>
              <w:tblCellMar>
                <w:left w:w="0" w:type="dxa"/>
                <w:right w:w="0" w:type="dxa"/>
              </w:tblCellMar>
              <w:tblLook w:val="04A0" w:firstRow="1" w:lastRow="0" w:firstColumn="1" w:lastColumn="0" w:noHBand="0" w:noVBand="1"/>
            </w:tblPr>
            <w:tblGrid>
              <w:gridCol w:w="551"/>
              <w:gridCol w:w="4536"/>
              <w:gridCol w:w="1701"/>
            </w:tblGrid>
            <w:tr w:rsidR="001024BB" w:rsidRPr="001024BB">
              <w:trPr>
                <w:jc w:val="center"/>
              </w:trPr>
              <w:tc>
                <w:tcPr>
                  <w:tcW w:w="397" w:type="dxa"/>
                  <w:tcBorders>
                    <w:top w:val="single" w:sz="8" w:space="0" w:color="auto"/>
                    <w:left w:val="single" w:sz="8" w:space="0" w:color="auto"/>
                    <w:bottom w:val="nil"/>
                    <w:right w:val="single" w:sz="8" w:space="0" w:color="auto"/>
                  </w:tcBorders>
                  <w:tcMar>
                    <w:top w:w="0" w:type="dxa"/>
                    <w:left w:w="56" w:type="dxa"/>
                    <w:bottom w:w="0" w:type="dxa"/>
                    <w:right w:w="56" w:type="dxa"/>
                  </w:tcMar>
                  <w:vAlign w:val="center"/>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w:t>
                  </w:r>
                  <w:proofErr w:type="gramStart"/>
                  <w:r w:rsidRPr="001024BB">
                    <w:rPr>
                      <w:rFonts w:ascii="Arial" w:eastAsia="Times New Roman" w:hAnsi="Arial" w:cs="Arial"/>
                      <w:color w:val="000000"/>
                      <w:sz w:val="18"/>
                      <w:szCs w:val="18"/>
                      <w:lang w:eastAsia="ru-RU"/>
                    </w:rPr>
                    <w:t>п</w:t>
                  </w:r>
                  <w:proofErr w:type="gramEnd"/>
                  <w:r w:rsidRPr="001024BB">
                    <w:rPr>
                      <w:rFonts w:ascii="Arial" w:eastAsia="Times New Roman" w:hAnsi="Arial" w:cs="Arial"/>
                      <w:color w:val="000000"/>
                      <w:sz w:val="18"/>
                      <w:szCs w:val="18"/>
                      <w:lang w:eastAsia="ru-RU"/>
                    </w:rPr>
                    <w:t>/п</w:t>
                  </w:r>
                </w:p>
              </w:tc>
              <w:tc>
                <w:tcPr>
                  <w:tcW w:w="4536" w:type="dxa"/>
                  <w:tcBorders>
                    <w:top w:val="single" w:sz="8" w:space="0" w:color="auto"/>
                    <w:left w:val="nil"/>
                    <w:bottom w:val="nil"/>
                    <w:right w:val="single" w:sz="8" w:space="0" w:color="auto"/>
                  </w:tcBorders>
                  <w:tcMar>
                    <w:top w:w="0" w:type="dxa"/>
                    <w:left w:w="56" w:type="dxa"/>
                    <w:bottom w:w="0" w:type="dxa"/>
                    <w:right w:w="56" w:type="dxa"/>
                  </w:tcMar>
                  <w:vAlign w:val="center"/>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Характер та види будівництва</w:t>
                  </w:r>
                </w:p>
              </w:tc>
              <w:tc>
                <w:tcPr>
                  <w:tcW w:w="1701" w:type="dxa"/>
                  <w:tcBorders>
                    <w:top w:val="single" w:sz="8" w:space="0" w:color="auto"/>
                    <w:left w:val="nil"/>
                    <w:bottom w:val="nil"/>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8"/>
                      <w:szCs w:val="18"/>
                      <w:lang w:eastAsia="ru-RU"/>
                    </w:rPr>
                    <w:t xml:space="preserve">Усереднені показники в % до </w:t>
                  </w:r>
                  <w:proofErr w:type="gramStart"/>
                  <w:r w:rsidRPr="001024BB">
                    <w:rPr>
                      <w:rFonts w:ascii="Arial" w:eastAsia="Times New Roman" w:hAnsi="Arial" w:cs="Arial"/>
                      <w:color w:val="000000"/>
                      <w:spacing w:val="-4"/>
                      <w:sz w:val="18"/>
                      <w:szCs w:val="18"/>
                      <w:lang w:eastAsia="ru-RU"/>
                    </w:rPr>
                    <w:t>п</w:t>
                  </w:r>
                  <w:proofErr w:type="gramEnd"/>
                  <w:r w:rsidRPr="001024BB">
                    <w:rPr>
                      <w:rFonts w:ascii="Arial" w:eastAsia="Times New Roman" w:hAnsi="Arial" w:cs="Arial"/>
                      <w:color w:val="000000"/>
                      <w:spacing w:val="-4"/>
                      <w:sz w:val="18"/>
                      <w:szCs w:val="18"/>
                      <w:lang w:eastAsia="ru-RU"/>
                    </w:rPr>
                    <w:t xml:space="preserve">ідсумку глав 1–12 </w:t>
                  </w:r>
                  <w:r w:rsidRPr="001024BB">
                    <w:rPr>
                      <w:rFonts w:ascii="Arial" w:eastAsia="Times New Roman" w:hAnsi="Arial" w:cs="Arial"/>
                      <w:color w:val="000000"/>
                      <w:sz w:val="18"/>
                      <w:szCs w:val="18"/>
                      <w:lang w:eastAsia="ru-RU"/>
                    </w:rPr>
                    <w:t xml:space="preserve">по графі 8 Зведеного </w:t>
                  </w:r>
                  <w:r w:rsidRPr="001024BB">
                    <w:rPr>
                      <w:rFonts w:ascii="Arial" w:eastAsia="Times New Roman" w:hAnsi="Arial" w:cs="Arial"/>
                      <w:color w:val="000000"/>
                      <w:sz w:val="18"/>
                      <w:szCs w:val="18"/>
                      <w:lang w:eastAsia="ru-RU"/>
                    </w:rPr>
                    <w:br/>
                  </w:r>
                  <w:r w:rsidRPr="001024BB">
                    <w:rPr>
                      <w:rFonts w:ascii="Arial" w:eastAsia="Times New Roman" w:hAnsi="Arial" w:cs="Arial"/>
                      <w:color w:val="000000"/>
                      <w:spacing w:val="4"/>
                      <w:sz w:val="18"/>
                      <w:szCs w:val="18"/>
                      <w:lang w:eastAsia="ru-RU"/>
                    </w:rPr>
                    <w:t>кошторисного розрахунку вартості будівництва</w:t>
                  </w:r>
                </w:p>
              </w:tc>
            </w:tr>
            <w:tr w:rsidR="001024BB" w:rsidRPr="001024BB">
              <w:trPr>
                <w:cantSplit/>
                <w:jc w:val="center"/>
              </w:trPr>
              <w:tc>
                <w:tcPr>
                  <w:tcW w:w="397" w:type="dxa"/>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20" w:after="2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6"/>
                      <w:szCs w:val="16"/>
                      <w:lang w:eastAsia="ru-RU"/>
                    </w:rPr>
                    <w:t>1</w:t>
                  </w:r>
                </w:p>
              </w:tc>
              <w:tc>
                <w:tcPr>
                  <w:tcW w:w="4536" w:type="dxa"/>
                  <w:tcBorders>
                    <w:top w:val="single" w:sz="8" w:space="0" w:color="auto"/>
                    <w:left w:val="nil"/>
                    <w:bottom w:val="single" w:sz="8" w:space="0" w:color="auto"/>
                    <w:right w:val="nil"/>
                  </w:tcBorders>
                  <w:tcMar>
                    <w:top w:w="0" w:type="dxa"/>
                    <w:left w:w="56" w:type="dxa"/>
                    <w:bottom w:w="0" w:type="dxa"/>
                    <w:right w:w="56" w:type="dxa"/>
                  </w:tcMar>
                  <w:hideMark/>
                </w:tcPr>
                <w:p w:rsidR="001024BB" w:rsidRPr="001024BB" w:rsidRDefault="001024BB" w:rsidP="001024BB">
                  <w:pPr>
                    <w:spacing w:before="20" w:after="2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6"/>
                      <w:szCs w:val="16"/>
                      <w:lang w:eastAsia="ru-RU"/>
                    </w:rPr>
                    <w:t>2</w:t>
                  </w:r>
                </w:p>
              </w:tc>
              <w:tc>
                <w:tcPr>
                  <w:tcW w:w="1701" w:type="dxa"/>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20" w:after="2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10"/>
                      <w:sz w:val="16"/>
                      <w:szCs w:val="16"/>
                      <w:lang w:eastAsia="ru-RU"/>
                    </w:rPr>
                    <w:t>3</w:t>
                  </w:r>
                </w:p>
              </w:tc>
            </w:tr>
            <w:tr w:rsidR="001024BB" w:rsidRPr="001024BB">
              <w:trPr>
                <w:cantSplit/>
                <w:jc w:val="center"/>
              </w:trPr>
              <w:tc>
                <w:tcPr>
                  <w:tcW w:w="397"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ind w:left="284" w:hanging="284"/>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1</w:t>
                  </w:r>
                </w:p>
              </w:tc>
              <w:tc>
                <w:tcPr>
                  <w:tcW w:w="4536" w:type="dxa"/>
                  <w:tcBorders>
                    <w:top w:val="nil"/>
                    <w:left w:val="nil"/>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pacing w:val="-4"/>
                      <w:sz w:val="19"/>
                      <w:szCs w:val="19"/>
                      <w:lang w:eastAsia="ru-RU"/>
                    </w:rPr>
                    <w:t>Об’єкти промисловості, гідроелектростанції, ядерні</w:t>
                  </w:r>
                  <w:r w:rsidRPr="001024BB">
                    <w:rPr>
                      <w:rFonts w:ascii="Arial" w:eastAsia="Times New Roman" w:hAnsi="Arial" w:cs="Arial"/>
                      <w:color w:val="000000"/>
                      <w:sz w:val="19"/>
                      <w:szCs w:val="19"/>
                      <w:lang w:eastAsia="ru-RU"/>
                    </w:rPr>
                    <w:t xml:space="preserve"> установки та об’єкти, призначені для поводження з радіоактивними відходами, метрополітени, тунелі </w:t>
                  </w:r>
                  <w:proofErr w:type="gramStart"/>
                  <w:r w:rsidRPr="001024BB">
                    <w:rPr>
                      <w:rFonts w:ascii="Arial" w:eastAsia="Times New Roman" w:hAnsi="Arial" w:cs="Arial"/>
                      <w:color w:val="000000"/>
                      <w:sz w:val="19"/>
                      <w:szCs w:val="19"/>
                      <w:lang w:eastAsia="ru-RU"/>
                    </w:rPr>
                    <w:t>р</w:t>
                  </w:r>
                  <w:proofErr w:type="gramEnd"/>
                  <w:r w:rsidRPr="001024BB">
                    <w:rPr>
                      <w:rFonts w:ascii="Arial" w:eastAsia="Times New Roman" w:hAnsi="Arial" w:cs="Arial"/>
                      <w:color w:val="000000"/>
                      <w:sz w:val="19"/>
                      <w:szCs w:val="19"/>
                      <w:lang w:eastAsia="ru-RU"/>
                    </w:rPr>
                    <w:t xml:space="preserve">ізного призначення і крупні мости з опорами глибокого закладання на палях-оболонках або бурових палях, а також мости з залізобетонними прогоновими спорудами довжиною більше 80 м та металевими прогоновими спорудами довжиною більше 100 м, об’єкти меліоративного будівництва, морські гідротехнічні споруди (причали, моли і хвилерізи на глибині 13 </w:t>
                  </w:r>
                  <w:proofErr w:type="gramStart"/>
                  <w:r w:rsidRPr="001024BB">
                    <w:rPr>
                      <w:rFonts w:ascii="Arial" w:eastAsia="Times New Roman" w:hAnsi="Arial" w:cs="Arial"/>
                      <w:color w:val="000000"/>
                      <w:sz w:val="19"/>
                      <w:szCs w:val="19"/>
                      <w:lang w:eastAsia="ru-RU"/>
                    </w:rPr>
                    <w:t>м і б</w:t>
                  </w:r>
                  <w:proofErr w:type="gramEnd"/>
                  <w:r w:rsidRPr="001024BB">
                    <w:rPr>
                      <w:rFonts w:ascii="Arial" w:eastAsia="Times New Roman" w:hAnsi="Arial" w:cs="Arial"/>
                      <w:color w:val="000000"/>
                      <w:sz w:val="19"/>
                      <w:szCs w:val="19"/>
                      <w:lang w:eastAsia="ru-RU"/>
                    </w:rPr>
                    <w:t xml:space="preserve">ільше) </w:t>
                  </w:r>
                </w:p>
              </w:tc>
              <w:tc>
                <w:tcPr>
                  <w:tcW w:w="1701" w:type="dxa"/>
                  <w:tcBorders>
                    <w:top w:val="nil"/>
                    <w:left w:val="nil"/>
                    <w:bottom w:val="single" w:sz="8" w:space="0" w:color="auto"/>
                    <w:right w:val="single" w:sz="8" w:space="0" w:color="auto"/>
                  </w:tcBorders>
                  <w:tcMar>
                    <w:top w:w="0" w:type="dxa"/>
                    <w:left w:w="56" w:type="dxa"/>
                    <w:bottom w:w="0" w:type="dxa"/>
                    <w:right w:w="56" w:type="dxa"/>
                  </w:tcMar>
                  <w:vAlign w:val="bottom"/>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3,6</w:t>
                  </w:r>
                </w:p>
              </w:tc>
            </w:tr>
            <w:tr w:rsidR="001024BB" w:rsidRPr="001024BB">
              <w:trPr>
                <w:cantSplit/>
                <w:jc w:val="center"/>
              </w:trPr>
              <w:tc>
                <w:tcPr>
                  <w:tcW w:w="397"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ind w:left="284" w:hanging="284"/>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2</w:t>
                  </w:r>
                </w:p>
              </w:tc>
              <w:tc>
                <w:tcPr>
                  <w:tcW w:w="4536" w:type="dxa"/>
                  <w:tcBorders>
                    <w:top w:val="nil"/>
                    <w:left w:val="nil"/>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jc w:val="both"/>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 xml:space="preserve">Решта </w:t>
                  </w:r>
                  <w:proofErr w:type="gramStart"/>
                  <w:r w:rsidRPr="001024BB">
                    <w:rPr>
                      <w:rFonts w:ascii="Arial" w:eastAsia="Times New Roman" w:hAnsi="Arial" w:cs="Arial"/>
                      <w:color w:val="000000"/>
                      <w:sz w:val="19"/>
                      <w:szCs w:val="19"/>
                      <w:lang w:eastAsia="ru-RU"/>
                    </w:rPr>
                    <w:t>п</w:t>
                  </w:r>
                  <w:proofErr w:type="gramEnd"/>
                  <w:r w:rsidRPr="001024BB">
                    <w:rPr>
                      <w:rFonts w:ascii="Arial" w:eastAsia="Times New Roman" w:hAnsi="Arial" w:cs="Arial"/>
                      <w:color w:val="000000"/>
                      <w:sz w:val="19"/>
                      <w:szCs w:val="19"/>
                      <w:lang w:eastAsia="ru-RU"/>
                    </w:rPr>
                    <w:t xml:space="preserve">ідприємств і споруд, об’єкти сільського господарства, транспорту та зв’язку, </w:t>
                  </w:r>
                  <w:r w:rsidRPr="001024BB">
                    <w:rPr>
                      <w:rFonts w:ascii="Arial" w:eastAsia="Times New Roman" w:hAnsi="Arial" w:cs="Arial"/>
                      <w:b/>
                      <w:bCs/>
                      <w:color w:val="000000"/>
                      <w:sz w:val="19"/>
                      <w:szCs w:val="19"/>
                      <w:lang w:eastAsia="ru-RU"/>
                    </w:rPr>
                    <w:t xml:space="preserve">особливо складні технічно або архітектурно </w:t>
                  </w:r>
                  <w:r w:rsidRPr="001024BB">
                    <w:rPr>
                      <w:rFonts w:ascii="Arial" w:eastAsia="Times New Roman" w:hAnsi="Arial" w:cs="Arial"/>
                      <w:color w:val="000000"/>
                      <w:sz w:val="19"/>
                      <w:szCs w:val="19"/>
                      <w:lang w:eastAsia="ru-RU"/>
                    </w:rPr>
                    <w:t>громадські будівлі та споруди, громадські будівлі та споруди, крім житлових будинків</w:t>
                  </w:r>
                </w:p>
              </w:tc>
              <w:tc>
                <w:tcPr>
                  <w:tcW w:w="1701" w:type="dxa"/>
                  <w:tcBorders>
                    <w:top w:val="nil"/>
                    <w:left w:val="nil"/>
                    <w:bottom w:val="single" w:sz="8" w:space="0" w:color="auto"/>
                    <w:right w:val="single" w:sz="8" w:space="0" w:color="auto"/>
                  </w:tcBorders>
                  <w:tcMar>
                    <w:top w:w="0" w:type="dxa"/>
                    <w:left w:w="56" w:type="dxa"/>
                    <w:bottom w:w="0" w:type="dxa"/>
                    <w:right w:w="56" w:type="dxa"/>
                  </w:tcMar>
                  <w:vAlign w:val="bottom"/>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2,0</w:t>
                  </w:r>
                </w:p>
              </w:tc>
            </w:tr>
            <w:tr w:rsidR="001024BB" w:rsidRPr="001024BB">
              <w:trPr>
                <w:cantSplit/>
                <w:jc w:val="center"/>
              </w:trPr>
              <w:tc>
                <w:tcPr>
                  <w:tcW w:w="397"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ind w:left="284" w:hanging="284"/>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3</w:t>
                  </w:r>
                </w:p>
              </w:tc>
              <w:tc>
                <w:tcPr>
                  <w:tcW w:w="4536" w:type="dxa"/>
                  <w:tcBorders>
                    <w:top w:val="nil"/>
                    <w:left w:val="nil"/>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Житлові будинки</w:t>
                  </w:r>
                </w:p>
              </w:tc>
              <w:tc>
                <w:tcPr>
                  <w:tcW w:w="1701" w:type="dxa"/>
                  <w:tcBorders>
                    <w:top w:val="nil"/>
                    <w:left w:val="nil"/>
                    <w:bottom w:val="single" w:sz="8" w:space="0" w:color="auto"/>
                    <w:right w:val="single" w:sz="8" w:space="0" w:color="auto"/>
                  </w:tcBorders>
                  <w:tcMar>
                    <w:top w:w="0" w:type="dxa"/>
                    <w:left w:w="56" w:type="dxa"/>
                    <w:bottom w:w="0" w:type="dxa"/>
                    <w:right w:w="56" w:type="dxa"/>
                  </w:tcMar>
                  <w:vAlign w:val="bottom"/>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1,8</w:t>
                  </w:r>
                </w:p>
              </w:tc>
            </w:tr>
            <w:tr w:rsidR="001024BB" w:rsidRPr="001024BB">
              <w:trPr>
                <w:cantSplit/>
                <w:jc w:val="center"/>
              </w:trPr>
              <w:tc>
                <w:tcPr>
                  <w:tcW w:w="397"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ind w:left="284" w:hanging="284"/>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4</w:t>
                  </w:r>
                </w:p>
              </w:tc>
              <w:tc>
                <w:tcPr>
                  <w:tcW w:w="4536" w:type="dxa"/>
                  <w:tcBorders>
                    <w:top w:val="nil"/>
                    <w:left w:val="nil"/>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Об’єкти ремонту</w:t>
                  </w:r>
                </w:p>
              </w:tc>
              <w:tc>
                <w:tcPr>
                  <w:tcW w:w="1701" w:type="dxa"/>
                  <w:tcBorders>
                    <w:top w:val="nil"/>
                    <w:left w:val="nil"/>
                    <w:bottom w:val="single" w:sz="8" w:space="0" w:color="auto"/>
                    <w:right w:val="single" w:sz="8" w:space="0" w:color="auto"/>
                  </w:tcBorders>
                  <w:tcMar>
                    <w:top w:w="0" w:type="dxa"/>
                    <w:left w:w="56" w:type="dxa"/>
                    <w:bottom w:w="0" w:type="dxa"/>
                    <w:right w:w="56" w:type="dxa"/>
                  </w:tcMar>
                  <w:vAlign w:val="bottom"/>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2,4</w:t>
                  </w:r>
                </w:p>
              </w:tc>
            </w:tr>
            <w:tr w:rsidR="001024BB" w:rsidRPr="001024BB">
              <w:trPr>
                <w:cantSplit/>
                <w:jc w:val="center"/>
              </w:trPr>
              <w:tc>
                <w:tcPr>
                  <w:tcW w:w="397"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ind w:left="284" w:hanging="284"/>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5</w:t>
                  </w:r>
                </w:p>
              </w:tc>
              <w:tc>
                <w:tcPr>
                  <w:tcW w:w="4536" w:type="dxa"/>
                  <w:tcBorders>
                    <w:top w:val="nil"/>
                    <w:left w:val="nil"/>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Інженерні мережі та благоустрій (</w:t>
                  </w:r>
                  <w:proofErr w:type="gramStart"/>
                  <w:r w:rsidRPr="001024BB">
                    <w:rPr>
                      <w:rFonts w:ascii="Arial" w:eastAsia="Times New Roman" w:hAnsi="Arial" w:cs="Arial"/>
                      <w:color w:val="000000"/>
                      <w:sz w:val="19"/>
                      <w:szCs w:val="19"/>
                      <w:lang w:eastAsia="ru-RU"/>
                    </w:rPr>
                    <w:t>у</w:t>
                  </w:r>
                  <w:proofErr w:type="gramEnd"/>
                  <w:r w:rsidRPr="001024BB">
                    <w:rPr>
                      <w:rFonts w:ascii="Arial" w:eastAsia="Times New Roman" w:hAnsi="Arial" w:cs="Arial"/>
                      <w:color w:val="000000"/>
                      <w:sz w:val="19"/>
                      <w:szCs w:val="19"/>
                      <w:lang w:eastAsia="ru-RU"/>
                    </w:rPr>
                    <w:t xml:space="preserve"> тому числі озеленення та вертикальне планування) за окремими проектами</w:t>
                  </w:r>
                </w:p>
              </w:tc>
              <w:tc>
                <w:tcPr>
                  <w:tcW w:w="1701" w:type="dxa"/>
                  <w:tcBorders>
                    <w:top w:val="nil"/>
                    <w:left w:val="nil"/>
                    <w:bottom w:val="single" w:sz="8" w:space="0" w:color="auto"/>
                    <w:right w:val="single" w:sz="8" w:space="0" w:color="auto"/>
                  </w:tcBorders>
                  <w:tcMar>
                    <w:top w:w="0" w:type="dxa"/>
                    <w:left w:w="56" w:type="dxa"/>
                    <w:bottom w:w="0" w:type="dxa"/>
                    <w:right w:w="56" w:type="dxa"/>
                  </w:tcMar>
                  <w:vAlign w:val="bottom"/>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2,0</w:t>
                  </w:r>
                </w:p>
              </w:tc>
            </w:tr>
            <w:tr w:rsidR="001024BB" w:rsidRPr="001024BB">
              <w:trPr>
                <w:cantSplit/>
                <w:jc w:val="center"/>
              </w:trPr>
              <w:tc>
                <w:tcPr>
                  <w:tcW w:w="397"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ind w:left="284" w:hanging="284"/>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6</w:t>
                  </w:r>
                </w:p>
              </w:tc>
              <w:tc>
                <w:tcPr>
                  <w:tcW w:w="4536" w:type="dxa"/>
                  <w:tcBorders>
                    <w:top w:val="nil"/>
                    <w:left w:val="nil"/>
                    <w:bottom w:val="single" w:sz="8" w:space="0" w:color="auto"/>
                    <w:right w:val="single" w:sz="8" w:space="0" w:color="auto"/>
                  </w:tcBorders>
                  <w:tcMar>
                    <w:top w:w="0" w:type="dxa"/>
                    <w:left w:w="56" w:type="dxa"/>
                    <w:bottom w:w="0" w:type="dxa"/>
                    <w:right w:w="56" w:type="dxa"/>
                  </w:tcMar>
                  <w:hideMark/>
                </w:tcPr>
                <w:p w:rsidR="001024BB" w:rsidRPr="001024BB" w:rsidRDefault="001024BB" w:rsidP="001024BB">
                  <w:pPr>
                    <w:spacing w:before="60" w:after="60" w:line="240" w:lineRule="auto"/>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 xml:space="preserve">Об’єкти реставрації і пристосування пам’яток </w:t>
                  </w:r>
                  <w:r w:rsidRPr="001024BB">
                    <w:rPr>
                      <w:rFonts w:ascii="Arial" w:eastAsia="Times New Roman" w:hAnsi="Arial" w:cs="Arial"/>
                      <w:color w:val="000000"/>
                      <w:sz w:val="19"/>
                      <w:szCs w:val="19"/>
                      <w:lang w:eastAsia="ru-RU"/>
                    </w:rPr>
                    <w:br/>
                  </w:r>
                  <w:proofErr w:type="gramStart"/>
                  <w:r w:rsidRPr="001024BB">
                    <w:rPr>
                      <w:rFonts w:ascii="Arial" w:eastAsia="Times New Roman" w:hAnsi="Arial" w:cs="Arial"/>
                      <w:color w:val="000000"/>
                      <w:sz w:val="19"/>
                      <w:szCs w:val="19"/>
                      <w:lang w:eastAsia="ru-RU"/>
                    </w:rPr>
                    <w:t>арх</w:t>
                  </w:r>
                  <w:proofErr w:type="gramEnd"/>
                  <w:r w:rsidRPr="001024BB">
                    <w:rPr>
                      <w:rFonts w:ascii="Arial" w:eastAsia="Times New Roman" w:hAnsi="Arial" w:cs="Arial"/>
                      <w:color w:val="000000"/>
                      <w:sz w:val="19"/>
                      <w:szCs w:val="19"/>
                      <w:lang w:eastAsia="ru-RU"/>
                    </w:rPr>
                    <w:t>ітектури та містобудування України</w:t>
                  </w:r>
                </w:p>
              </w:tc>
              <w:tc>
                <w:tcPr>
                  <w:tcW w:w="1701" w:type="dxa"/>
                  <w:tcBorders>
                    <w:top w:val="nil"/>
                    <w:left w:val="nil"/>
                    <w:bottom w:val="single" w:sz="8" w:space="0" w:color="auto"/>
                    <w:right w:val="single" w:sz="8" w:space="0" w:color="auto"/>
                  </w:tcBorders>
                  <w:tcMar>
                    <w:top w:w="0" w:type="dxa"/>
                    <w:left w:w="56" w:type="dxa"/>
                    <w:bottom w:w="0" w:type="dxa"/>
                    <w:right w:w="56" w:type="dxa"/>
                  </w:tcMar>
                  <w:vAlign w:val="bottom"/>
                  <w:hideMark/>
                </w:tcPr>
                <w:p w:rsidR="001024BB" w:rsidRPr="001024BB" w:rsidRDefault="001024BB" w:rsidP="001024BB">
                  <w:pPr>
                    <w:spacing w:before="60" w:after="60" w:line="240" w:lineRule="auto"/>
                    <w:jc w:val="center"/>
                    <w:rPr>
                      <w:rFonts w:ascii="Times New Roman" w:eastAsia="Times New Roman" w:hAnsi="Times New Roman" w:cs="Times New Roman"/>
                      <w:color w:val="000000"/>
                      <w:sz w:val="24"/>
                      <w:szCs w:val="24"/>
                      <w:lang w:eastAsia="ru-RU"/>
                    </w:rPr>
                  </w:pPr>
                  <w:r w:rsidRPr="001024BB">
                    <w:rPr>
                      <w:rFonts w:ascii="Arial" w:eastAsia="Times New Roman" w:hAnsi="Arial" w:cs="Arial"/>
                      <w:color w:val="000000"/>
                      <w:sz w:val="19"/>
                      <w:szCs w:val="19"/>
                      <w:lang w:eastAsia="ru-RU"/>
                    </w:rPr>
                    <w:t>6,0</w:t>
                  </w:r>
                </w:p>
              </w:tc>
            </w:tr>
          </w:tbl>
          <w:p w:rsidR="001024BB" w:rsidRPr="001024BB" w:rsidRDefault="001024BB" w:rsidP="001024BB">
            <w:pPr>
              <w:spacing w:before="120" w:after="0" w:line="240" w:lineRule="auto"/>
              <w:ind w:left="284" w:firstLine="119"/>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t xml:space="preserve">Начальник управління ціноутворення, </w:t>
            </w:r>
          </w:p>
          <w:p w:rsidR="001024BB" w:rsidRPr="001024BB" w:rsidRDefault="001024BB" w:rsidP="001024BB">
            <w:pPr>
              <w:spacing w:before="100" w:beforeAutospacing="1" w:after="100" w:afterAutospacing="1" w:line="240" w:lineRule="auto"/>
              <w:ind w:left="284" w:firstLine="119"/>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t>експертизи та контролю вартості</w:t>
            </w:r>
          </w:p>
          <w:p w:rsidR="001024BB" w:rsidRPr="001024BB" w:rsidRDefault="001024BB" w:rsidP="001024BB">
            <w:pPr>
              <w:spacing w:before="100" w:beforeAutospacing="1" w:after="100" w:afterAutospacing="1" w:line="240" w:lineRule="auto"/>
              <w:ind w:left="284" w:firstLine="119"/>
              <w:jc w:val="both"/>
              <w:rPr>
                <w:rFonts w:ascii="Times New Roman" w:eastAsia="Times New Roman" w:hAnsi="Times New Roman" w:cs="Times New Roman"/>
                <w:color w:val="000000"/>
                <w:sz w:val="24"/>
                <w:szCs w:val="24"/>
                <w:lang w:eastAsia="ru-RU"/>
              </w:rPr>
            </w:pPr>
            <w:r w:rsidRPr="001024BB">
              <w:rPr>
                <w:rFonts w:ascii="Arial" w:eastAsia="Times New Roman" w:hAnsi="Arial" w:cs="Arial"/>
                <w:b/>
                <w:bCs/>
                <w:i/>
                <w:iCs/>
                <w:color w:val="000000"/>
                <w:sz w:val="20"/>
                <w:szCs w:val="20"/>
                <w:lang w:eastAsia="ru-RU"/>
              </w:rPr>
              <w:t>у будівництві П.І.Губень</w:t>
            </w:r>
          </w:p>
        </w:tc>
      </w:tr>
    </w:tbl>
    <w:p w:rsidR="00596B28" w:rsidRDefault="00596B28" w:rsidP="001024BB">
      <w:pPr>
        <w:spacing w:line="240" w:lineRule="auto"/>
      </w:pPr>
    </w:p>
    <w:sectPr w:rsidR="00596B28" w:rsidSect="001024BB">
      <w:pgSz w:w="11906" w:h="16838"/>
      <w:pgMar w:top="96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BB"/>
    <w:rsid w:val="001024BB"/>
    <w:rsid w:val="0059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024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24B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024BB"/>
    <w:pPr>
      <w:spacing w:after="0" w:line="240" w:lineRule="auto"/>
    </w:pPr>
    <w:rPr>
      <w:rFonts w:ascii="Verdana" w:eastAsia="Times New Roman" w:hAnsi="Verdana" w:cs="Times New Roman"/>
      <w:sz w:val="17"/>
      <w:szCs w:val="17"/>
      <w:lang w:eastAsia="ru-RU"/>
    </w:rPr>
  </w:style>
  <w:style w:type="character" w:styleId="a4">
    <w:name w:val="Strong"/>
    <w:basedOn w:val="a0"/>
    <w:uiPriority w:val="22"/>
    <w:qFormat/>
    <w:rsid w:val="001024BB"/>
    <w:rPr>
      <w:b/>
      <w:bCs/>
    </w:rPr>
  </w:style>
  <w:style w:type="paragraph" w:customStyle="1" w:styleId="4text">
    <w:name w:val="4text"/>
    <w:basedOn w:val="a"/>
    <w:rsid w:val="001024BB"/>
    <w:pPr>
      <w:spacing w:after="0" w:line="240" w:lineRule="auto"/>
    </w:pPr>
    <w:rPr>
      <w:rFonts w:ascii="Verdana" w:eastAsia="Times New Roman" w:hAnsi="Verdana" w:cs="Times New Roman"/>
      <w:sz w:val="17"/>
      <w:szCs w:val="17"/>
      <w:lang w:eastAsia="ru-RU"/>
    </w:rPr>
  </w:style>
  <w:style w:type="paragraph" w:styleId="a5">
    <w:name w:val="Title"/>
    <w:basedOn w:val="a"/>
    <w:link w:val="a6"/>
    <w:uiPriority w:val="10"/>
    <w:qFormat/>
    <w:rsid w:val="001024BB"/>
    <w:pPr>
      <w:spacing w:after="0" w:line="240" w:lineRule="auto"/>
    </w:pPr>
    <w:rPr>
      <w:rFonts w:ascii="Verdana" w:eastAsia="Times New Roman" w:hAnsi="Verdana" w:cs="Times New Roman"/>
      <w:sz w:val="17"/>
      <w:szCs w:val="17"/>
      <w:lang w:eastAsia="ru-RU"/>
    </w:rPr>
  </w:style>
  <w:style w:type="character" w:customStyle="1" w:styleId="a6">
    <w:name w:val="Название Знак"/>
    <w:basedOn w:val="a0"/>
    <w:link w:val="a5"/>
    <w:uiPriority w:val="10"/>
    <w:rsid w:val="001024BB"/>
    <w:rPr>
      <w:rFonts w:ascii="Verdana" w:eastAsia="Times New Roman" w:hAnsi="Verdana" w:cs="Times New Roman"/>
      <w:sz w:val="17"/>
      <w:szCs w:val="17"/>
      <w:lang w:eastAsia="ru-RU"/>
    </w:rPr>
  </w:style>
  <w:style w:type="paragraph" w:styleId="a7">
    <w:name w:val="Subtitle"/>
    <w:basedOn w:val="a"/>
    <w:link w:val="a8"/>
    <w:uiPriority w:val="11"/>
    <w:qFormat/>
    <w:rsid w:val="001024BB"/>
    <w:pPr>
      <w:spacing w:after="0" w:line="240" w:lineRule="auto"/>
    </w:pPr>
    <w:rPr>
      <w:rFonts w:ascii="Verdana" w:eastAsia="Times New Roman" w:hAnsi="Verdana" w:cs="Times New Roman"/>
      <w:sz w:val="17"/>
      <w:szCs w:val="17"/>
      <w:lang w:eastAsia="ru-RU"/>
    </w:rPr>
  </w:style>
  <w:style w:type="character" w:customStyle="1" w:styleId="a8">
    <w:name w:val="Подзаголовок Знак"/>
    <w:basedOn w:val="a0"/>
    <w:link w:val="a7"/>
    <w:uiPriority w:val="11"/>
    <w:rsid w:val="001024BB"/>
    <w:rPr>
      <w:rFonts w:ascii="Verdana" w:eastAsia="Times New Roman" w:hAnsi="Verdana" w:cs="Times New Roman"/>
      <w:sz w:val="17"/>
      <w:szCs w:val="17"/>
      <w:lang w:eastAsia="ru-RU"/>
    </w:rPr>
  </w:style>
  <w:style w:type="paragraph" w:customStyle="1" w:styleId="2">
    <w:name w:val="2"/>
    <w:basedOn w:val="a"/>
    <w:rsid w:val="001024BB"/>
    <w:pPr>
      <w:spacing w:after="0" w:line="240" w:lineRule="auto"/>
    </w:pPr>
    <w:rPr>
      <w:rFonts w:ascii="Verdana" w:eastAsia="Times New Roman" w:hAnsi="Verdana" w:cs="Times New Roman"/>
      <w:sz w:val="17"/>
      <w:szCs w:val="17"/>
      <w:lang w:eastAsia="ru-RU"/>
    </w:rPr>
  </w:style>
  <w:style w:type="paragraph" w:styleId="a9">
    <w:name w:val="Block Text"/>
    <w:basedOn w:val="a"/>
    <w:uiPriority w:val="99"/>
    <w:semiHidden/>
    <w:unhideWhenUsed/>
    <w:rsid w:val="001024BB"/>
    <w:pPr>
      <w:spacing w:after="0" w:line="240" w:lineRule="auto"/>
    </w:pPr>
    <w:rPr>
      <w:rFonts w:ascii="Verdana" w:eastAsia="Times New Roman" w:hAnsi="Verdana" w:cs="Times New Roman"/>
      <w:sz w:val="17"/>
      <w:szCs w:val="17"/>
      <w:lang w:eastAsia="ru-RU"/>
    </w:rPr>
  </w:style>
  <w:style w:type="character" w:styleId="aa">
    <w:name w:val="Emphasis"/>
    <w:basedOn w:val="a0"/>
    <w:uiPriority w:val="20"/>
    <w:qFormat/>
    <w:rsid w:val="001024BB"/>
    <w:rPr>
      <w:i/>
      <w:iCs/>
    </w:rPr>
  </w:style>
  <w:style w:type="paragraph" w:styleId="ab">
    <w:name w:val="Body Text"/>
    <w:basedOn w:val="a"/>
    <w:link w:val="ac"/>
    <w:uiPriority w:val="99"/>
    <w:semiHidden/>
    <w:unhideWhenUsed/>
    <w:rsid w:val="001024BB"/>
    <w:pPr>
      <w:spacing w:after="0" w:line="240" w:lineRule="auto"/>
    </w:pPr>
    <w:rPr>
      <w:rFonts w:ascii="Verdana" w:eastAsia="Times New Roman" w:hAnsi="Verdana" w:cs="Times New Roman"/>
      <w:sz w:val="17"/>
      <w:szCs w:val="17"/>
      <w:lang w:eastAsia="ru-RU"/>
    </w:rPr>
  </w:style>
  <w:style w:type="character" w:customStyle="1" w:styleId="ac">
    <w:name w:val="Основной текст Знак"/>
    <w:basedOn w:val="a0"/>
    <w:link w:val="ab"/>
    <w:uiPriority w:val="99"/>
    <w:semiHidden/>
    <w:rsid w:val="001024BB"/>
    <w:rPr>
      <w:rFonts w:ascii="Verdana" w:eastAsia="Times New Roman" w:hAnsi="Verdana" w:cs="Times New Roman"/>
      <w:sz w:val="17"/>
      <w:szCs w:val="17"/>
      <w:lang w:eastAsia="ru-RU"/>
    </w:rPr>
  </w:style>
  <w:style w:type="paragraph" w:styleId="ad">
    <w:name w:val="Body Text Indent"/>
    <w:basedOn w:val="a"/>
    <w:link w:val="ae"/>
    <w:uiPriority w:val="99"/>
    <w:semiHidden/>
    <w:unhideWhenUsed/>
    <w:rsid w:val="001024BB"/>
    <w:pPr>
      <w:spacing w:after="0" w:line="240" w:lineRule="auto"/>
    </w:pPr>
    <w:rPr>
      <w:rFonts w:ascii="Verdana" w:eastAsia="Times New Roman" w:hAnsi="Verdana" w:cs="Times New Roman"/>
      <w:sz w:val="17"/>
      <w:szCs w:val="17"/>
      <w:lang w:eastAsia="ru-RU"/>
    </w:rPr>
  </w:style>
  <w:style w:type="character" w:customStyle="1" w:styleId="ae">
    <w:name w:val="Основной текст с отступом Знак"/>
    <w:basedOn w:val="a0"/>
    <w:link w:val="ad"/>
    <w:uiPriority w:val="99"/>
    <w:semiHidden/>
    <w:rsid w:val="001024BB"/>
    <w:rPr>
      <w:rFonts w:ascii="Verdana" w:eastAsia="Times New Roman" w:hAnsi="Verdana" w:cs="Times New Roman"/>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024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24B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024BB"/>
    <w:pPr>
      <w:spacing w:after="0" w:line="240" w:lineRule="auto"/>
    </w:pPr>
    <w:rPr>
      <w:rFonts w:ascii="Verdana" w:eastAsia="Times New Roman" w:hAnsi="Verdana" w:cs="Times New Roman"/>
      <w:sz w:val="17"/>
      <w:szCs w:val="17"/>
      <w:lang w:eastAsia="ru-RU"/>
    </w:rPr>
  </w:style>
  <w:style w:type="character" w:styleId="a4">
    <w:name w:val="Strong"/>
    <w:basedOn w:val="a0"/>
    <w:uiPriority w:val="22"/>
    <w:qFormat/>
    <w:rsid w:val="001024BB"/>
    <w:rPr>
      <w:b/>
      <w:bCs/>
    </w:rPr>
  </w:style>
  <w:style w:type="paragraph" w:customStyle="1" w:styleId="4text">
    <w:name w:val="4text"/>
    <w:basedOn w:val="a"/>
    <w:rsid w:val="001024BB"/>
    <w:pPr>
      <w:spacing w:after="0" w:line="240" w:lineRule="auto"/>
    </w:pPr>
    <w:rPr>
      <w:rFonts w:ascii="Verdana" w:eastAsia="Times New Roman" w:hAnsi="Verdana" w:cs="Times New Roman"/>
      <w:sz w:val="17"/>
      <w:szCs w:val="17"/>
      <w:lang w:eastAsia="ru-RU"/>
    </w:rPr>
  </w:style>
  <w:style w:type="paragraph" w:styleId="a5">
    <w:name w:val="Title"/>
    <w:basedOn w:val="a"/>
    <w:link w:val="a6"/>
    <w:uiPriority w:val="10"/>
    <w:qFormat/>
    <w:rsid w:val="001024BB"/>
    <w:pPr>
      <w:spacing w:after="0" w:line="240" w:lineRule="auto"/>
    </w:pPr>
    <w:rPr>
      <w:rFonts w:ascii="Verdana" w:eastAsia="Times New Roman" w:hAnsi="Verdana" w:cs="Times New Roman"/>
      <w:sz w:val="17"/>
      <w:szCs w:val="17"/>
      <w:lang w:eastAsia="ru-RU"/>
    </w:rPr>
  </w:style>
  <w:style w:type="character" w:customStyle="1" w:styleId="a6">
    <w:name w:val="Название Знак"/>
    <w:basedOn w:val="a0"/>
    <w:link w:val="a5"/>
    <w:uiPriority w:val="10"/>
    <w:rsid w:val="001024BB"/>
    <w:rPr>
      <w:rFonts w:ascii="Verdana" w:eastAsia="Times New Roman" w:hAnsi="Verdana" w:cs="Times New Roman"/>
      <w:sz w:val="17"/>
      <w:szCs w:val="17"/>
      <w:lang w:eastAsia="ru-RU"/>
    </w:rPr>
  </w:style>
  <w:style w:type="paragraph" w:styleId="a7">
    <w:name w:val="Subtitle"/>
    <w:basedOn w:val="a"/>
    <w:link w:val="a8"/>
    <w:uiPriority w:val="11"/>
    <w:qFormat/>
    <w:rsid w:val="001024BB"/>
    <w:pPr>
      <w:spacing w:after="0" w:line="240" w:lineRule="auto"/>
    </w:pPr>
    <w:rPr>
      <w:rFonts w:ascii="Verdana" w:eastAsia="Times New Roman" w:hAnsi="Verdana" w:cs="Times New Roman"/>
      <w:sz w:val="17"/>
      <w:szCs w:val="17"/>
      <w:lang w:eastAsia="ru-RU"/>
    </w:rPr>
  </w:style>
  <w:style w:type="character" w:customStyle="1" w:styleId="a8">
    <w:name w:val="Подзаголовок Знак"/>
    <w:basedOn w:val="a0"/>
    <w:link w:val="a7"/>
    <w:uiPriority w:val="11"/>
    <w:rsid w:val="001024BB"/>
    <w:rPr>
      <w:rFonts w:ascii="Verdana" w:eastAsia="Times New Roman" w:hAnsi="Verdana" w:cs="Times New Roman"/>
      <w:sz w:val="17"/>
      <w:szCs w:val="17"/>
      <w:lang w:eastAsia="ru-RU"/>
    </w:rPr>
  </w:style>
  <w:style w:type="paragraph" w:customStyle="1" w:styleId="2">
    <w:name w:val="2"/>
    <w:basedOn w:val="a"/>
    <w:rsid w:val="001024BB"/>
    <w:pPr>
      <w:spacing w:after="0" w:line="240" w:lineRule="auto"/>
    </w:pPr>
    <w:rPr>
      <w:rFonts w:ascii="Verdana" w:eastAsia="Times New Roman" w:hAnsi="Verdana" w:cs="Times New Roman"/>
      <w:sz w:val="17"/>
      <w:szCs w:val="17"/>
      <w:lang w:eastAsia="ru-RU"/>
    </w:rPr>
  </w:style>
  <w:style w:type="paragraph" w:styleId="a9">
    <w:name w:val="Block Text"/>
    <w:basedOn w:val="a"/>
    <w:uiPriority w:val="99"/>
    <w:semiHidden/>
    <w:unhideWhenUsed/>
    <w:rsid w:val="001024BB"/>
    <w:pPr>
      <w:spacing w:after="0" w:line="240" w:lineRule="auto"/>
    </w:pPr>
    <w:rPr>
      <w:rFonts w:ascii="Verdana" w:eastAsia="Times New Roman" w:hAnsi="Verdana" w:cs="Times New Roman"/>
      <w:sz w:val="17"/>
      <w:szCs w:val="17"/>
      <w:lang w:eastAsia="ru-RU"/>
    </w:rPr>
  </w:style>
  <w:style w:type="character" w:styleId="aa">
    <w:name w:val="Emphasis"/>
    <w:basedOn w:val="a0"/>
    <w:uiPriority w:val="20"/>
    <w:qFormat/>
    <w:rsid w:val="001024BB"/>
    <w:rPr>
      <w:i/>
      <w:iCs/>
    </w:rPr>
  </w:style>
  <w:style w:type="paragraph" w:styleId="ab">
    <w:name w:val="Body Text"/>
    <w:basedOn w:val="a"/>
    <w:link w:val="ac"/>
    <w:uiPriority w:val="99"/>
    <w:semiHidden/>
    <w:unhideWhenUsed/>
    <w:rsid w:val="001024BB"/>
    <w:pPr>
      <w:spacing w:after="0" w:line="240" w:lineRule="auto"/>
    </w:pPr>
    <w:rPr>
      <w:rFonts w:ascii="Verdana" w:eastAsia="Times New Roman" w:hAnsi="Verdana" w:cs="Times New Roman"/>
      <w:sz w:val="17"/>
      <w:szCs w:val="17"/>
      <w:lang w:eastAsia="ru-RU"/>
    </w:rPr>
  </w:style>
  <w:style w:type="character" w:customStyle="1" w:styleId="ac">
    <w:name w:val="Основной текст Знак"/>
    <w:basedOn w:val="a0"/>
    <w:link w:val="ab"/>
    <w:uiPriority w:val="99"/>
    <w:semiHidden/>
    <w:rsid w:val="001024BB"/>
    <w:rPr>
      <w:rFonts w:ascii="Verdana" w:eastAsia="Times New Roman" w:hAnsi="Verdana" w:cs="Times New Roman"/>
      <w:sz w:val="17"/>
      <w:szCs w:val="17"/>
      <w:lang w:eastAsia="ru-RU"/>
    </w:rPr>
  </w:style>
  <w:style w:type="paragraph" w:styleId="ad">
    <w:name w:val="Body Text Indent"/>
    <w:basedOn w:val="a"/>
    <w:link w:val="ae"/>
    <w:uiPriority w:val="99"/>
    <w:semiHidden/>
    <w:unhideWhenUsed/>
    <w:rsid w:val="001024BB"/>
    <w:pPr>
      <w:spacing w:after="0" w:line="240" w:lineRule="auto"/>
    </w:pPr>
    <w:rPr>
      <w:rFonts w:ascii="Verdana" w:eastAsia="Times New Roman" w:hAnsi="Verdana" w:cs="Times New Roman"/>
      <w:sz w:val="17"/>
      <w:szCs w:val="17"/>
      <w:lang w:eastAsia="ru-RU"/>
    </w:rPr>
  </w:style>
  <w:style w:type="character" w:customStyle="1" w:styleId="ae">
    <w:name w:val="Основной текст с отступом Знак"/>
    <w:basedOn w:val="a0"/>
    <w:link w:val="ad"/>
    <w:uiPriority w:val="99"/>
    <w:semiHidden/>
    <w:rsid w:val="001024BB"/>
    <w:rPr>
      <w:rFonts w:ascii="Verdana" w:eastAsia="Times New Roman" w:hAnsi="Verdana" w:cs="Times New Roman"/>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3431</Words>
  <Characters>19561</Characters>
  <Application>Microsoft Office Word</Application>
  <DocSecurity>0</DocSecurity>
  <Lines>163</Lines>
  <Paragraphs>45</Paragraphs>
  <ScaleCrop>false</ScaleCrop>
  <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dcterms:created xsi:type="dcterms:W3CDTF">2012-08-02T09:24:00Z</dcterms:created>
  <dcterms:modified xsi:type="dcterms:W3CDTF">2012-08-02T09:26:00Z</dcterms:modified>
</cp:coreProperties>
</file>